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05617" w14:textId="77777777" w:rsidR="002C5DCD" w:rsidRDefault="002C5DCD" w:rsidP="00D2498A">
      <w:pPr>
        <w:pStyle w:val="RStekst"/>
      </w:pPr>
    </w:p>
    <w:p w14:paraId="076355AC" w14:textId="77777777" w:rsidR="006A4E3B" w:rsidRDefault="006A4E3B" w:rsidP="00D2498A">
      <w:pPr>
        <w:pStyle w:val="RStekst"/>
      </w:pPr>
    </w:p>
    <w:p w14:paraId="08DA6C7F" w14:textId="77777777" w:rsidR="006A4E3B" w:rsidRPr="006A4E3B" w:rsidRDefault="006A4E3B" w:rsidP="00D2498A">
      <w:pPr>
        <w:pStyle w:val="RStekst"/>
        <w:rPr>
          <w:b/>
        </w:rPr>
      </w:pPr>
      <w:r w:rsidRPr="006A4E3B">
        <w:rPr>
          <w:b/>
        </w:rPr>
        <w:t xml:space="preserve">Povzetek revizijskega poročila </w:t>
      </w:r>
      <w:r w:rsidRPr="006A4E3B">
        <w:rPr>
          <w:b/>
          <w:i/>
        </w:rPr>
        <w:t>Pravilnost dela poslovanja Mestne občine Nova Gorica</w:t>
      </w:r>
    </w:p>
    <w:p w14:paraId="3E8102C7" w14:textId="77777777" w:rsidR="006A4E3B" w:rsidRDefault="006A4E3B" w:rsidP="00D2498A">
      <w:pPr>
        <w:pStyle w:val="RStekst"/>
      </w:pPr>
    </w:p>
    <w:p w14:paraId="7654606F" w14:textId="77777777" w:rsidR="006A4E3B" w:rsidRDefault="006A4E3B" w:rsidP="00D2498A">
      <w:pPr>
        <w:pStyle w:val="RStekst"/>
      </w:pPr>
    </w:p>
    <w:p w14:paraId="1E0481DB" w14:textId="77777777" w:rsidR="006A4E3B" w:rsidRPr="004203AA" w:rsidRDefault="006A4E3B" w:rsidP="006A4E3B">
      <w:pPr>
        <w:pStyle w:val="RStekst"/>
      </w:pPr>
      <w:r w:rsidRPr="004203AA">
        <w:t xml:space="preserve">Računsko sodišče je revidiralo </w:t>
      </w:r>
      <w:r w:rsidRPr="004203AA">
        <w:rPr>
          <w:i/>
        </w:rPr>
        <w:t>pravilnost poslovanja Mestne občine Nova Gorica v letu 2015 v delu, ki se nanaša na pripravo proračuna in zaključnega računa proračuna ter izvrševanje proračuna, tekoče transfere nepridobitnim organizacijam in ustanovam, investicijske odhodke in zadolževanje</w:t>
      </w:r>
      <w:r w:rsidRPr="004203AA">
        <w:t xml:space="preserve">. Cilj revizije je bil izrek mnenja o pravilnosti poslovanja Mestne občine Nova Gorica v letu 2015 v delu, ki se nanaša na pripravo proračuna in zaključnega računa proračuna ter izvrševanje proračuna, tekoče transfere nepridobitnim organizacijam in ustanovam, </w:t>
      </w:r>
      <w:r w:rsidRPr="004203AA">
        <w:rPr>
          <w:szCs w:val="22"/>
        </w:rPr>
        <w:t>investicijske odhodke</w:t>
      </w:r>
      <w:r w:rsidRPr="004203AA">
        <w:t xml:space="preserve"> in zadolževanje.</w:t>
      </w:r>
    </w:p>
    <w:p w14:paraId="2DF66808" w14:textId="77777777" w:rsidR="006A4E3B" w:rsidRPr="004203AA" w:rsidRDefault="006A4E3B" w:rsidP="006A4E3B">
      <w:pPr>
        <w:pStyle w:val="RStekst"/>
      </w:pPr>
    </w:p>
    <w:p w14:paraId="6101BA98" w14:textId="77777777" w:rsidR="006A4E3B" w:rsidRPr="004203AA" w:rsidRDefault="006A4E3B" w:rsidP="006A4E3B">
      <w:pPr>
        <w:pStyle w:val="RStekst"/>
      </w:pPr>
      <w:r w:rsidRPr="004203AA">
        <w:t xml:space="preserve">Računsko sodišče je o pravilnosti dela poslovanja Mestne občine Nova Gorica v letu 2015 izreklo </w:t>
      </w:r>
      <w:r w:rsidRPr="004203AA">
        <w:rPr>
          <w:i/>
        </w:rPr>
        <w:t>mnenje s pridržkom</w:t>
      </w:r>
      <w:r w:rsidRPr="004203AA">
        <w:t>, ker občina ni poslovala v skladu s predpisi v naslednjih primerih:</w:t>
      </w:r>
    </w:p>
    <w:p w14:paraId="1A604232" w14:textId="77777777" w:rsidR="006A4E3B" w:rsidRPr="004203AA" w:rsidRDefault="006A4E3B" w:rsidP="006A4E3B">
      <w:pPr>
        <w:pStyle w:val="RSnatevanje"/>
        <w:numPr>
          <w:ilvl w:val="0"/>
          <w:numId w:val="3"/>
        </w:numPr>
        <w:rPr>
          <w:szCs w:val="22"/>
        </w:rPr>
      </w:pPr>
      <w:r w:rsidRPr="004203AA">
        <w:t>proračuna, rebalansov proračuna in zaključnega računa proračuna ni pripravila po funkcionalni klasifikaciji; v poročilu o izvrševanju proračuna v prvem polletju ni predstavila vseh zahtevanih podatkov; ni šestmesečno poročala o izvršenih prerazporeditvah proračunskih sredstev; ni določila obsega izdatkov za posamezno trimesečje ali drugo obdobje, v okviru katerega smejo neposredni uporabniki plačevati obveznosti; v kadrovskem načrtu ni prikazala vseh zahtevanih podatkov; pri plačilu obveznosti iz proračuna ni upoštevala zakonskih plačilnih rokov;</w:t>
      </w:r>
    </w:p>
    <w:p w14:paraId="79D83DFE" w14:textId="77777777" w:rsidR="006A4E3B" w:rsidRPr="004203AA" w:rsidRDefault="006A4E3B" w:rsidP="006A4E3B">
      <w:pPr>
        <w:pStyle w:val="RSnatevanje"/>
        <w:numPr>
          <w:ilvl w:val="0"/>
          <w:numId w:val="3"/>
        </w:numPr>
      </w:pPr>
      <w:r w:rsidRPr="004203AA">
        <w:t xml:space="preserve">v treh postopkih dodelitve tekočih transferov nepridobitnim organizacijam in ustanovam v razpisni dokumentaciji ni določila načina uporabe in pomena posameznih meril, s pomočjo katerih se med tistimi, ki izpolnjujejo pogoje, izberejo prejemniki sredstev, iz dokumentacije pa ni razviden način ocenjevanja in vrednotenja (izplačila v letu 2015 v skupnem znesku 182.115 evrov); v štirih postopkih dodelitve tekočih transferov nepridobitnim organizacijam in ustanovam je predlog razdelitve sredstev podpisal predsednik strokovne komisije, ne pa tudi člani strokovne komisije; v postopku dodelitve tekočih transferov na področju tehnične kulture ocene vlog ni opravila na podlagi meril, ki so bila navedena v Odloku o sofinanciranju programov na področju tehnične kulture v Mestni občini Nova Gorica (izplačila v letu 2015 v skupnem znesku 50.000 evrov); </w:t>
      </w:r>
      <w:r w:rsidRPr="004203AA">
        <w:rPr>
          <w:rFonts w:cs="Garamond"/>
          <w:szCs w:val="22"/>
          <w:lang w:eastAsia="sl-SI"/>
        </w:rPr>
        <w:t xml:space="preserve">v postopku dodelitve tekočih transferov na področju programov socialne dejavnosti je </w:t>
      </w:r>
      <w:r w:rsidRPr="004203AA">
        <w:t xml:space="preserve">župan v komisijo za izbor programov in projektov s področja socialnih dejavnosti imenoval člana, ki sta bila s prejemnikoma sredstev interesno povezana v smislu poslovne povezanosti; </w:t>
      </w:r>
      <w:r w:rsidRPr="004203AA">
        <w:rPr>
          <w:rStyle w:val="RSpodnaslov2aZnak"/>
        </w:rPr>
        <w:t>sedmim prejemnikom je z neposredno pogodbo dodelila in izplačala</w:t>
      </w:r>
      <w:r w:rsidRPr="004203AA">
        <w:t xml:space="preserve"> sredstva v skupnem znesku 4.295 evrov, ne da bi prej izvedla javni razpis;</w:t>
      </w:r>
    </w:p>
    <w:p w14:paraId="77CF4490" w14:textId="77777777" w:rsidR="006A4E3B" w:rsidRPr="004203AA" w:rsidRDefault="006A4E3B" w:rsidP="006A4E3B">
      <w:pPr>
        <w:pStyle w:val="RSnatevanje"/>
        <w:numPr>
          <w:ilvl w:val="0"/>
          <w:numId w:val="3"/>
        </w:numPr>
      </w:pPr>
      <w:r w:rsidRPr="004203AA">
        <w:rPr>
          <w:rFonts w:cs="Garamond"/>
          <w:szCs w:val="22"/>
          <w:lang w:eastAsia="sl-SI"/>
        </w:rPr>
        <w:t xml:space="preserve">pri načrtovanju projekta gradnje objekta športne dvorane v Novi Gorici ni pripravila </w:t>
      </w:r>
      <w:proofErr w:type="spellStart"/>
      <w:r w:rsidRPr="004203AA">
        <w:rPr>
          <w:rFonts w:cs="Garamond"/>
          <w:szCs w:val="22"/>
          <w:lang w:eastAsia="sl-SI"/>
        </w:rPr>
        <w:t>predinvesticijske</w:t>
      </w:r>
      <w:proofErr w:type="spellEnd"/>
      <w:r w:rsidRPr="004203AA">
        <w:rPr>
          <w:rFonts w:cs="Garamond"/>
          <w:szCs w:val="22"/>
          <w:lang w:eastAsia="sl-SI"/>
        </w:rPr>
        <w:t xml:space="preserve"> zasnove</w:t>
      </w:r>
      <w:r w:rsidRPr="004203AA">
        <w:t>; s pogodbo za najem s postopnim odkupom objekta športne dvorane v Novi Gorici je prevzela obveznosti nad dovoljenim obsegom</w:t>
      </w:r>
      <w:r w:rsidRPr="004203AA">
        <w:rPr>
          <w:szCs w:val="22"/>
        </w:rPr>
        <w:t>;</w:t>
      </w:r>
      <w:r w:rsidRPr="004203AA">
        <w:t xml:space="preserve"> </w:t>
      </w:r>
      <w:r w:rsidRPr="004203AA">
        <w:rPr>
          <w:szCs w:val="22"/>
        </w:rPr>
        <w:t>v pogodbi za najem s postopnim odkupom objekta športne dvorane v Novi Gorici podizvajalec ni naveden;</w:t>
      </w:r>
    </w:p>
    <w:p w14:paraId="65863BED" w14:textId="77777777" w:rsidR="006A4E3B" w:rsidRPr="004203AA" w:rsidRDefault="006A4E3B" w:rsidP="006A4E3B">
      <w:pPr>
        <w:pStyle w:val="RSnatevanje"/>
        <w:numPr>
          <w:ilvl w:val="0"/>
          <w:numId w:val="3"/>
        </w:numPr>
        <w:rPr>
          <w:szCs w:val="22"/>
        </w:rPr>
      </w:pPr>
      <w:r w:rsidRPr="004203AA">
        <w:t>pravni temelj in višino obveznosti, ki izhaja iz računa v znesku 23.095 evrov, je potrdila, še preden je bila storitev izvedena</w:t>
      </w:r>
      <w:r w:rsidRPr="004203AA">
        <w:rPr>
          <w:szCs w:val="22"/>
        </w:rPr>
        <w:t>; dopustila je, da sta dela na objektu izvajala podizvajalca, ne da bi pridobila pogodbi, ki bi ju morala podizvajalca skleniti z izbranim ponudnikom, in ne da bi ju pisno potrdila; za dela, ki sta jih izvedla podizvajalca, od ponudnika ni pridobila računov oziroma situacij; pogodbo, sklenjeno med izvajalcem in podizvajalcem, je pridobila prepozno; finančno zavarovanje je pridobila z rokom veljavnosti, krajšim od zahtevanega; ni pridobila finančnega zavarovanja za dobro izvedbo pogodbenih obveznosti; z aneksom ni podaljšala roka izvedbe del; dokumentacijo po dokončanju del je pridobila prepozno; dopustila je, da je dela izvajal podizvajalec, preden ga je potrdila z aneksom;</w:t>
      </w:r>
    </w:p>
    <w:p w14:paraId="69B5D76D" w14:textId="77777777" w:rsidR="006A4E3B" w:rsidRPr="004203AA" w:rsidRDefault="006A4E3B" w:rsidP="006A4E3B">
      <w:pPr>
        <w:pStyle w:val="RSnatevanje"/>
        <w:keepLines/>
        <w:numPr>
          <w:ilvl w:val="0"/>
          <w:numId w:val="3"/>
        </w:numPr>
      </w:pPr>
      <w:r w:rsidRPr="004203AA">
        <w:lastRenderedPageBreak/>
        <w:t>ni v celoti izvajala nadzora nad zadolževanjem pravnih oseb javnega sektorja na ravni občine; dolgoročno se je zadolžila s sklenitvijo pogodbe o obročnem odplačilu obveznosti v znesku 582.830 evrov, ne da bi upoštevala postopke zadolževanja občin, ki jih določata Zakon o financiranju občin in Pravilnik o postopkih zadolževanja občin; od dveh pravnih oseb javnega sektorja na ravni občine ni pridobila podatkov o stanju njune zadolženosti na dan 31. 12. 2015.</w:t>
      </w:r>
    </w:p>
    <w:p w14:paraId="001652C2" w14:textId="77777777" w:rsidR="006A4E3B" w:rsidRPr="004203AA" w:rsidRDefault="006A4E3B" w:rsidP="006A4E3B">
      <w:pPr>
        <w:pStyle w:val="RStekst"/>
      </w:pPr>
    </w:p>
    <w:p w14:paraId="73718E00" w14:textId="77777777" w:rsidR="006A4E3B" w:rsidRPr="004203AA" w:rsidRDefault="006A4E3B" w:rsidP="006A4E3B">
      <w:pPr>
        <w:pStyle w:val="RStekst"/>
      </w:pPr>
      <w:r w:rsidRPr="004203AA">
        <w:t xml:space="preserve">Računsko sodišče je Mestni občini Nova Gorica podalo </w:t>
      </w:r>
      <w:r w:rsidRPr="004203AA">
        <w:rPr>
          <w:i/>
        </w:rPr>
        <w:t>priporočila</w:t>
      </w:r>
      <w:r w:rsidRPr="004203AA">
        <w:t xml:space="preserve"> za izboljšanje poslovanja.</w:t>
      </w:r>
    </w:p>
    <w:p w14:paraId="666198AD" w14:textId="77777777" w:rsidR="006A4E3B" w:rsidRDefault="006A4E3B" w:rsidP="006A4E3B">
      <w:pPr>
        <w:pStyle w:val="RStekst"/>
      </w:pPr>
    </w:p>
    <w:p w14:paraId="492B0415" w14:textId="77777777" w:rsidR="006A4E3B" w:rsidRDefault="006A4E3B" w:rsidP="006A4E3B">
      <w:pPr>
        <w:pStyle w:val="RStekst"/>
      </w:pPr>
    </w:p>
    <w:p w14:paraId="12486E4D" w14:textId="77777777" w:rsidR="006A4E3B" w:rsidRDefault="006A4E3B" w:rsidP="006A4E3B">
      <w:pPr>
        <w:pStyle w:val="RStekst"/>
      </w:pPr>
    </w:p>
    <w:p w14:paraId="7FBC3D2F" w14:textId="38230570" w:rsidR="006A4E3B" w:rsidRDefault="006A4E3B" w:rsidP="00D2498A">
      <w:pPr>
        <w:pStyle w:val="RStekst"/>
      </w:pPr>
      <w:r>
        <w:t xml:space="preserve">Ljubljana, </w:t>
      </w:r>
      <w:r w:rsidR="007B3986">
        <w:t>1. junija 2017</w:t>
      </w:r>
      <w:bookmarkStart w:id="0" w:name="_GoBack"/>
      <w:bookmarkEnd w:id="0"/>
    </w:p>
    <w:p w14:paraId="738443A2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662D5" w14:textId="77777777" w:rsidR="006A4E3B" w:rsidRDefault="006A4E3B">
      <w:r>
        <w:separator/>
      </w:r>
    </w:p>
  </w:endnote>
  <w:endnote w:type="continuationSeparator" w:id="0">
    <w:p w14:paraId="74A48643" w14:textId="77777777" w:rsidR="006A4E3B" w:rsidRDefault="006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11505" w14:textId="77777777" w:rsidR="00C75B6E" w:rsidRDefault="00C75B6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453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B39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E59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230E940" wp14:editId="7970F4E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39EF4" w14:textId="77777777" w:rsidR="006A4E3B" w:rsidRDefault="006A4E3B">
      <w:r>
        <w:separator/>
      </w:r>
    </w:p>
  </w:footnote>
  <w:footnote w:type="continuationSeparator" w:id="0">
    <w:p w14:paraId="6F3DD26C" w14:textId="77777777" w:rsidR="006A4E3B" w:rsidRDefault="006A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56B83" w14:textId="77777777" w:rsidR="00C75B6E" w:rsidRDefault="00C75B6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6BC46" w14:textId="77777777" w:rsidR="00C75B6E" w:rsidRDefault="00C75B6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BF51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E91045C" wp14:editId="5C610CB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3B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6A4E3B"/>
    <w:rsid w:val="00742630"/>
    <w:rsid w:val="007B3986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75B6E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DA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link w:val="RSpodnaslov2aZnak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A4E3B"/>
    <w:rPr>
      <w:rFonts w:ascii="Garamond" w:hAnsi="Garamond"/>
      <w:bCs/>
      <w:sz w:val="22"/>
      <w:lang w:eastAsia="en-US"/>
    </w:rPr>
  </w:style>
  <w:style w:type="character" w:customStyle="1" w:styleId="RSpodnaslov2aZnak">
    <w:name w:val="RS podnaslov 2a Znak"/>
    <w:link w:val="RSpodnaslov2a"/>
    <w:rsid w:val="006A4E3B"/>
    <w:rPr>
      <w:rFonts w:ascii="Garamond" w:hAnsi="Garamond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link w:val="RSpodnaslov2aZnak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A4E3B"/>
    <w:rPr>
      <w:rFonts w:ascii="Garamond" w:hAnsi="Garamond"/>
      <w:bCs/>
      <w:sz w:val="22"/>
      <w:lang w:eastAsia="en-US"/>
    </w:rPr>
  </w:style>
  <w:style w:type="character" w:customStyle="1" w:styleId="RSpodnaslov2aZnak">
    <w:name w:val="RS podnaslov 2a Znak"/>
    <w:link w:val="RSpodnaslov2a"/>
    <w:rsid w:val="006A4E3B"/>
    <w:rPr>
      <w:rFonts w:ascii="Garamond" w:hAnsi="Garamond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3DEF5E-A312-458B-A16E-8518A24046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4D9B35-BD63-42CB-9437-A73A213DD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4673A-F3B0-4ABA-B4B5-DA7BC6D0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2017-05-29T10:35:00Z</dcterms:created>
  <dcterms:modified xsi:type="dcterms:W3CDTF">2017-05-30T07:45:00Z</dcterms:modified>
</cp:coreProperties>
</file>