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BE9DC" w14:textId="77777777" w:rsidR="00DC4BC5" w:rsidRDefault="00DC4BC5" w:rsidP="00D2498A">
      <w:pPr>
        <w:pStyle w:val="RStekst"/>
      </w:pPr>
    </w:p>
    <w:p w14:paraId="04D75BF1" w14:textId="77777777" w:rsidR="00DC4BC5" w:rsidRPr="00DC4BC5" w:rsidRDefault="00DC4BC5" w:rsidP="00D2498A">
      <w:pPr>
        <w:pStyle w:val="RStekst"/>
        <w:rPr>
          <w:b/>
        </w:rPr>
      </w:pPr>
      <w:r w:rsidRPr="00DC4BC5">
        <w:rPr>
          <w:b/>
        </w:rPr>
        <w:t xml:space="preserve">Povzetek revizijskega poročila </w:t>
      </w:r>
      <w:r w:rsidRPr="00DC4BC5">
        <w:rPr>
          <w:b/>
          <w:i/>
          <w:lang w:eastAsia="sl-SI"/>
        </w:rPr>
        <w:t>Pravilnost in smotrnost poslovanja Občine Ajdovščina</w:t>
      </w:r>
      <w:r w:rsidRPr="00DC4BC5">
        <w:rPr>
          <w:b/>
          <w:i/>
        </w:rPr>
        <w:t xml:space="preserve"> v delu, ki se nanaša na izvedbo </w:t>
      </w:r>
      <w:r w:rsidRPr="00DC4BC5">
        <w:rPr>
          <w:rFonts w:cs="Garamond"/>
          <w:b/>
          <w:i/>
          <w:color w:val="000000"/>
          <w:szCs w:val="22"/>
          <w:lang w:eastAsia="sl-SI"/>
        </w:rPr>
        <w:t>investicije v objekt za vrtec</w:t>
      </w:r>
    </w:p>
    <w:p w14:paraId="54EED6CF" w14:textId="77777777" w:rsidR="00DC4BC5" w:rsidRDefault="00DC4BC5" w:rsidP="00D2498A">
      <w:pPr>
        <w:pStyle w:val="RStekst"/>
      </w:pPr>
    </w:p>
    <w:p w14:paraId="69B3AE1F" w14:textId="77777777" w:rsidR="00DC4BC5" w:rsidRPr="006E2417" w:rsidRDefault="00DC4BC5" w:rsidP="00DC4BC5">
      <w:pPr>
        <w:pStyle w:val="RStekst"/>
      </w:pPr>
      <w:r w:rsidRPr="006E2417">
        <w:rPr>
          <w:lang w:eastAsia="sl-SI"/>
        </w:rPr>
        <w:t xml:space="preserve">Računsko sodišče je </w:t>
      </w:r>
      <w:r w:rsidRPr="006E2417">
        <w:t xml:space="preserve">revidiralo </w:t>
      </w:r>
      <w:r w:rsidRPr="00271FF4">
        <w:rPr>
          <w:i/>
          <w:lang w:eastAsia="sl-SI"/>
        </w:rPr>
        <w:t>pravilnost in smotrnost poslovanja Občine Ajdovščina</w:t>
      </w:r>
      <w:r w:rsidRPr="00271FF4">
        <w:rPr>
          <w:i/>
        </w:rPr>
        <w:t xml:space="preserve"> v delu, ki se nanaša na izvedbo </w:t>
      </w:r>
      <w:r w:rsidRPr="00271FF4">
        <w:rPr>
          <w:rFonts w:cs="Garamond"/>
          <w:i/>
          <w:color w:val="000000"/>
          <w:szCs w:val="22"/>
          <w:lang w:eastAsia="sl-SI"/>
        </w:rPr>
        <w:t>investicije v objekt za vrtec</w:t>
      </w:r>
      <w:r w:rsidRPr="00271FF4">
        <w:rPr>
          <w:i/>
          <w:lang w:eastAsia="sl-SI"/>
        </w:rPr>
        <w:t xml:space="preserve"> do 31. 12. 2014.</w:t>
      </w:r>
      <w:r w:rsidRPr="006E2417">
        <w:rPr>
          <w:lang w:eastAsia="sl-SI"/>
        </w:rPr>
        <w:t xml:space="preserve"> Cilj revizije je bil izrek mnenja o </w:t>
      </w:r>
      <w:r w:rsidRPr="006E2417">
        <w:t xml:space="preserve">pravilnosti poslovanja Občine Ajdovščina v delu, ki se nanaša na izvedbo investicije v objekt za vrtec do 31. 12. 2014, in </w:t>
      </w:r>
      <w:r w:rsidRPr="006E2417">
        <w:rPr>
          <w:lang w:eastAsia="sl-SI"/>
        </w:rPr>
        <w:t>izrek mnenja o</w:t>
      </w:r>
      <w:r w:rsidRPr="006E2417">
        <w:t xml:space="preserve"> smotrnosti poslovanja Občine Ajdovščina v delu, ki se nanaša na izvedbo investicije v objekt za vrtec </w:t>
      </w:r>
      <w:r w:rsidRPr="00F130F5">
        <w:t>do</w:t>
      </w:r>
      <w:r>
        <w:t> </w:t>
      </w:r>
      <w:r w:rsidRPr="00F130F5">
        <w:t>31</w:t>
      </w:r>
      <w:r w:rsidRPr="006E2417">
        <w:t>. 12. 2014.</w:t>
      </w:r>
    </w:p>
    <w:p w14:paraId="2D2BBCD2" w14:textId="77777777" w:rsidR="00DC4BC5" w:rsidRPr="006E2417" w:rsidRDefault="00DC4BC5" w:rsidP="00DC4BC5">
      <w:pPr>
        <w:pStyle w:val="RStekst"/>
      </w:pPr>
    </w:p>
    <w:p w14:paraId="01F78ACD" w14:textId="77777777" w:rsidR="00DC4BC5" w:rsidRPr="006E2417" w:rsidRDefault="00DC4BC5" w:rsidP="00DC4BC5">
      <w:pPr>
        <w:pStyle w:val="RStekst"/>
      </w:pPr>
      <w:r w:rsidRPr="006E2417">
        <w:t xml:space="preserve">Računsko sodišče je o pravilnosti poslovanja Občine Ajdovščina, ki se nanaša na izvedbo investicije v objekt za vrtec do 31. 12. 2014, izreklo </w:t>
      </w:r>
      <w:r w:rsidRPr="006E2417">
        <w:rPr>
          <w:i/>
        </w:rPr>
        <w:t>mnenje s pridržkom</w:t>
      </w:r>
      <w:r w:rsidRPr="006E2417">
        <w:t>, ker Občina Ajdovščina ni poslovala v skladu s predpisi v naslednjih primerih:</w:t>
      </w:r>
    </w:p>
    <w:p w14:paraId="10948B08" w14:textId="77777777" w:rsidR="00DC4BC5" w:rsidRPr="006E2417" w:rsidRDefault="00DC4BC5" w:rsidP="00DC4BC5">
      <w:pPr>
        <w:pStyle w:val="RSnatevanje"/>
        <w:numPr>
          <w:ilvl w:val="0"/>
          <w:numId w:val="3"/>
        </w:numPr>
        <w:rPr>
          <w:szCs w:val="22"/>
        </w:rPr>
      </w:pPr>
      <w:r w:rsidRPr="006E2417">
        <w:rPr>
          <w:szCs w:val="22"/>
        </w:rPr>
        <w:t>obrazložitve finančnih načrtov občine v proračunih in rebalansih proračuna za leta od 2012 do 2014</w:t>
      </w:r>
      <w:r w:rsidRPr="006E2417">
        <w:t xml:space="preserve"> </w:t>
      </w:r>
      <w:r w:rsidRPr="006E2417">
        <w:rPr>
          <w:szCs w:val="22"/>
        </w:rPr>
        <w:t xml:space="preserve">in obrazložitve zaključnih računov proračuna občine za leta od 2012 do 2014 za </w:t>
      </w:r>
      <w:r>
        <w:rPr>
          <w:szCs w:val="22"/>
        </w:rPr>
        <w:t xml:space="preserve">novi objekt v </w:t>
      </w:r>
      <w:r w:rsidRPr="006E2417">
        <w:rPr>
          <w:szCs w:val="22"/>
        </w:rPr>
        <w:t>enot</w:t>
      </w:r>
      <w:r>
        <w:rPr>
          <w:szCs w:val="22"/>
        </w:rPr>
        <w:t>i</w:t>
      </w:r>
      <w:r w:rsidRPr="006E2417">
        <w:rPr>
          <w:szCs w:val="22"/>
        </w:rPr>
        <w:t xml:space="preserve"> vrtca Ribnik 2 niso popolne; </w:t>
      </w:r>
    </w:p>
    <w:p w14:paraId="2DA659FF" w14:textId="77777777" w:rsidR="00DC4BC5" w:rsidRPr="006E2417" w:rsidRDefault="00DC4BC5" w:rsidP="00DC4BC5">
      <w:pPr>
        <w:pStyle w:val="RSnatevanje"/>
        <w:numPr>
          <w:ilvl w:val="0"/>
          <w:numId w:val="3"/>
        </w:numPr>
        <w:rPr>
          <w:szCs w:val="22"/>
        </w:rPr>
      </w:pPr>
      <w:r w:rsidRPr="006E2417">
        <w:t xml:space="preserve">v pogodbi ni navedla podatkov glede podizvajalcev; dopustila je, da so dela izvajali podizvajalci, ne da bi pridobila pogodbe, ki bi jih morali podizvajalci skleniti s ponudnikom; ponudniku je plačala račune za dela, ki so jih izvedli podizvajalci, ne da bi od ponudnika pridobila potrjene račune in situacije podizvajalcev; </w:t>
      </w:r>
    </w:p>
    <w:p w14:paraId="61D75CEF" w14:textId="77777777" w:rsidR="00DC4BC5" w:rsidRPr="006E2417" w:rsidRDefault="00DC4BC5" w:rsidP="00DC4BC5">
      <w:pPr>
        <w:pStyle w:val="RSnatevanje"/>
        <w:numPr>
          <w:ilvl w:val="0"/>
          <w:numId w:val="3"/>
        </w:numPr>
        <w:rPr>
          <w:szCs w:val="22"/>
        </w:rPr>
      </w:pPr>
      <w:r w:rsidRPr="006E2417">
        <w:t>z izvajalcem je sklenila aneks za izvedbo dodatnih del po opravljenih delih;</w:t>
      </w:r>
    </w:p>
    <w:p w14:paraId="1E1519BD" w14:textId="77777777" w:rsidR="00DC4BC5" w:rsidRPr="006E2417" w:rsidRDefault="00DC4BC5" w:rsidP="00DC4BC5">
      <w:pPr>
        <w:pStyle w:val="RSnatevanje"/>
        <w:numPr>
          <w:ilvl w:val="0"/>
          <w:numId w:val="3"/>
        </w:numPr>
        <w:rPr>
          <w:szCs w:val="22"/>
        </w:rPr>
      </w:pPr>
      <w:r w:rsidRPr="006E2417">
        <w:t xml:space="preserve">investicijo v </w:t>
      </w:r>
      <w:r>
        <w:t xml:space="preserve">novi </w:t>
      </w:r>
      <w:r w:rsidRPr="006E2417">
        <w:t>objekt vrtca</w:t>
      </w:r>
      <w:r>
        <w:t xml:space="preserve"> v enoti Vrtec</w:t>
      </w:r>
      <w:r w:rsidRPr="006E2417">
        <w:t xml:space="preserve"> Ribnik je uvrstila v načrt razvojnih programov 112 dni pred potrditvijo dokumenta identifikacije investicijskega projekta.</w:t>
      </w:r>
    </w:p>
    <w:p w14:paraId="2A892421" w14:textId="77777777" w:rsidR="00DC4BC5" w:rsidRPr="006E2417" w:rsidRDefault="00DC4BC5" w:rsidP="00DC4BC5">
      <w:pPr>
        <w:pStyle w:val="RStekst"/>
        <w:spacing w:before="0" w:after="0" w:line="240" w:lineRule="auto"/>
      </w:pPr>
    </w:p>
    <w:p w14:paraId="6A3BCFDE" w14:textId="77777777" w:rsidR="00DC4BC5" w:rsidRPr="006E2417" w:rsidRDefault="00DC4BC5" w:rsidP="00DC4BC5">
      <w:pPr>
        <w:pStyle w:val="RStekst"/>
      </w:pPr>
      <w:r w:rsidRPr="006E2417">
        <w:t xml:space="preserve">Občina Ajdovščina je pri izvedbi investicije v objekt za vrtec ravnala </w:t>
      </w:r>
      <w:r w:rsidRPr="006E2417">
        <w:rPr>
          <w:i/>
        </w:rPr>
        <w:t xml:space="preserve">delno uspešno </w:t>
      </w:r>
      <w:r w:rsidRPr="006E2417">
        <w:t>in</w:t>
      </w:r>
      <w:r w:rsidRPr="006E2417">
        <w:rPr>
          <w:i/>
        </w:rPr>
        <w:t xml:space="preserve"> delno učinkovito</w:t>
      </w:r>
      <w:r w:rsidRPr="006E2417">
        <w:t xml:space="preserve">. </w:t>
      </w:r>
      <w:r w:rsidRPr="006E2417">
        <w:rPr>
          <w:lang w:eastAsia="sl-SI"/>
        </w:rPr>
        <w:t xml:space="preserve">Občina </w:t>
      </w:r>
      <w:r w:rsidRPr="006E2417">
        <w:t>Ajdovščina</w:t>
      </w:r>
      <w:r w:rsidRPr="006E2417">
        <w:rPr>
          <w:lang w:eastAsia="sl-SI"/>
        </w:rPr>
        <w:t xml:space="preserve"> ni sprejela enotnega strateškega dokumenta, v katerem bi opredelila dolgoročno vizijo razvoja občine na področju predšolske vzgoje, niti ni z nobenim drugim strateškim dokumentom opredelila ciljev na področju dostopnosti vrtcev, ciljne vključenosti v vrtce in ciljnega obdobja doseganja standardov igralnih površin, kakor tudi ni določila nobenih </w:t>
      </w:r>
      <w:r w:rsidRPr="006E2417">
        <w:t>ukrepov in aktivnosti na področju predšolske vzgoje.</w:t>
      </w:r>
      <w:r w:rsidRPr="006E2417">
        <w:rPr>
          <w:lang w:eastAsia="sl-SI"/>
        </w:rPr>
        <w:t xml:space="preserve"> Pri izbiri oblike zagotavljanja predšolske vzgoje ter izbiri načina in variante investicije torej ni izhajala iz jasno opredeljenih dolgoročnih ciljev občine. Občina Ajdovščina</w:t>
      </w:r>
      <w:r w:rsidRPr="006E2417">
        <w:t xml:space="preserve"> je v </w:t>
      </w:r>
      <w:r w:rsidRPr="006E2417">
        <w:rPr>
          <w:lang w:eastAsia="sl-SI"/>
        </w:rPr>
        <w:t xml:space="preserve">sodelovanju z Otroškim vrtcem </w:t>
      </w:r>
      <w:r w:rsidRPr="006E2417">
        <w:t>Ajdovščina</w:t>
      </w:r>
      <w:r w:rsidRPr="006E2417">
        <w:rPr>
          <w:lang w:eastAsia="sl-SI"/>
        </w:rPr>
        <w:t xml:space="preserve"> vzpostavila sistem za spremljanje in </w:t>
      </w:r>
      <w:r w:rsidRPr="006E2417">
        <w:t xml:space="preserve">zagotavljanje </w:t>
      </w:r>
      <w:r w:rsidRPr="006E2417">
        <w:rPr>
          <w:lang w:eastAsia="sl-SI"/>
        </w:rPr>
        <w:t>prostorskih potreb za izvajanje predšolske vzgoje</w:t>
      </w:r>
      <w:r w:rsidRPr="006E2417">
        <w:t xml:space="preserve"> in v obdobju </w:t>
      </w:r>
      <w:r w:rsidRPr="006E2417">
        <w:rPr>
          <w:lang w:eastAsia="sl-SI"/>
        </w:rPr>
        <w:t xml:space="preserve">od leta </w:t>
      </w:r>
      <w:r w:rsidRPr="006E2417">
        <w:t xml:space="preserve">2012 do </w:t>
      </w:r>
      <w:r w:rsidRPr="006E2417">
        <w:rPr>
          <w:lang w:eastAsia="sl-SI"/>
        </w:rPr>
        <w:t xml:space="preserve">leta </w:t>
      </w:r>
      <w:r w:rsidRPr="006E2417">
        <w:t xml:space="preserve">2014 </w:t>
      </w:r>
      <w:r>
        <w:t xml:space="preserve">in z njim </w:t>
      </w:r>
      <w:r w:rsidRPr="006E2417">
        <w:t xml:space="preserve">zagotovila, da </w:t>
      </w:r>
      <w:r w:rsidRPr="006E2417">
        <w:rPr>
          <w:lang w:eastAsia="sl-SI"/>
        </w:rPr>
        <w:t xml:space="preserve">v občini ni bilo odklonjenih otrok. </w:t>
      </w:r>
      <w:r w:rsidRPr="006E2417">
        <w:t>V proračunih občine za leta od 2012 do 2014 je bil glavni program predstavljen brez opredelitve splošnih ciljev, podprogram pa brez opredelitve specifičnih ciljev, prav tako v obrazložitvah proračunov ni bilo informacij, ki bi opisovale stanje na področju predšolske vzgoje glede razpoložljivih mest v vrtcu in doseganja standarda igralnih površin.</w:t>
      </w:r>
    </w:p>
    <w:p w14:paraId="13A2553D" w14:textId="77777777" w:rsidR="00DC4BC5" w:rsidRPr="006E2417" w:rsidRDefault="00DC4BC5" w:rsidP="00DC4BC5">
      <w:pPr>
        <w:pStyle w:val="RStekst"/>
        <w:rPr>
          <w:highlight w:val="yellow"/>
          <w:lang w:eastAsia="sl-SI"/>
        </w:rPr>
      </w:pPr>
    </w:p>
    <w:p w14:paraId="55ACB39D" w14:textId="77777777" w:rsidR="00DC4BC5" w:rsidRPr="006E2417" w:rsidRDefault="00DC4BC5" w:rsidP="00DC4BC5">
      <w:pPr>
        <w:pStyle w:val="RStekst"/>
        <w:rPr>
          <w:highlight w:val="yellow"/>
        </w:rPr>
      </w:pPr>
      <w:r w:rsidRPr="006E2417">
        <w:rPr>
          <w:lang w:eastAsia="sl-SI"/>
        </w:rPr>
        <w:t>Pred sprejemom odločitve za izvedbo investicije v objekt vrtca je Občina Ajdovščina opravila analizo obstoječega stanja na področju predšolske vzgoje in</w:t>
      </w:r>
      <w:r w:rsidRPr="006E2417">
        <w:t xml:space="preserve"> tudi delno oceno demografskih gibanj, ki predvideva naraščanje števila predšolskih otrok. Sprejela je odločitev za izvedbo investicije v objekt s kapaciteto, ki naj bi zagotavljal zadostno število razpoložljivih mest za trenutne potrebe ene izmed enot Otroškega vrtca Ajdovščina, ne pa tudi za prihodnje</w:t>
      </w:r>
      <w:r>
        <w:t xml:space="preserve"> potrebe O</w:t>
      </w:r>
      <w:r w:rsidRPr="006E2417">
        <w:t>bčine</w:t>
      </w:r>
      <w:r>
        <w:t xml:space="preserve"> </w:t>
      </w:r>
      <w:r w:rsidRPr="006E2417">
        <w:t xml:space="preserve">Ajdovščina. Po sprejetju odločitve za gradnjo objekta z nobenim dokumentom ni opredelila, kako bo razmere na področju predšolske vzgoje reševala v prihodnje in o tem niti ni potekala razprava na sejah občinskega sveta. Pridobila je dokumente investicijske dokumentacije, ki vsebujejo potrebne podatke za sprejem odločitve o izvedbi investicije, vendar so bili </w:t>
      </w:r>
      <w:r w:rsidRPr="006E2417">
        <w:lastRenderedPageBreak/>
        <w:t xml:space="preserve">prilagojeni vnaprej izbrani varianti </w:t>
      </w:r>
      <w:proofErr w:type="spellStart"/>
      <w:r w:rsidRPr="006E2417">
        <w:t>nizkoenergetskega</w:t>
      </w:r>
      <w:proofErr w:type="spellEnd"/>
      <w:r w:rsidRPr="006E2417">
        <w:t xml:space="preserve"> objekta in možnosti pridobitve evropskih sredstev. </w:t>
      </w:r>
      <w:r w:rsidRPr="006E2417">
        <w:rPr>
          <w:bCs w:val="0"/>
          <w:lang w:eastAsia="sl-SI"/>
        </w:rPr>
        <w:t xml:space="preserve">Občinskemu svetu </w:t>
      </w:r>
      <w:r w:rsidRPr="006E2417">
        <w:rPr>
          <w:bCs w:val="0"/>
        </w:rPr>
        <w:t>so bili v dokumentih investicijske dokumentacije predstavljeni podatki o izbrani varianti investicije, na podlagi katerih je lahko sprejel odločitev, ali se investicija izvede v predlagani obliki</w:t>
      </w:r>
      <w:r w:rsidRPr="006E2417">
        <w:t xml:space="preserve">, čeprav bi dokumentacija morala vsebovati vrednostno opredeljene prihranke glede porabe toplotne energije. V postopku priprave projektne dokumentacije je z namenom zagotovitve večje funkcionalnosti prostorov sodeloval tudi Otroški vrtec Ajdovščina kot prihodnji upravljavec objekta. </w:t>
      </w:r>
    </w:p>
    <w:p w14:paraId="5D737F8D" w14:textId="77777777" w:rsidR="00DC4BC5" w:rsidRPr="006E2417" w:rsidRDefault="00DC4BC5" w:rsidP="00DC4BC5">
      <w:pPr>
        <w:pStyle w:val="RStekst"/>
        <w:rPr>
          <w:highlight w:val="yellow"/>
        </w:rPr>
      </w:pPr>
    </w:p>
    <w:p w14:paraId="32F1252E" w14:textId="77777777" w:rsidR="00DC4BC5" w:rsidRPr="006E2417" w:rsidRDefault="00DC4BC5" w:rsidP="00DC4BC5">
      <w:pPr>
        <w:pStyle w:val="RStekst"/>
      </w:pPr>
      <w:r w:rsidRPr="006E2417">
        <w:t>Pri načrtovanju sredstev za investicijo v proračunih in rebalansih proračuna je Občina Ajdovščina sledila dokumentom investicijske dokumentacije, ni pa opredelila splošnih ciljev projekta ter ovrednotila kazalnikov. Projekt je bil načrtovan na enotni proračunski postavki, ni pa bil določen skrbnik postavke, odgovornost za izvedbo investicije pa je bila določena le v dokumentih investicijske dokumentacije. Nadzor nad izvajalcem investicije se je izvajal tudi z zunanjim nadzorom,</w:t>
      </w:r>
      <w:r w:rsidRPr="006E2417">
        <w:rPr>
          <w:lang w:eastAsia="sl-SI"/>
        </w:rPr>
        <w:t xml:space="preserve"> vendar so dela kljub temu opravljali podizvajalci, ki jih</w:t>
      </w:r>
      <w:r>
        <w:rPr>
          <w:lang w:eastAsia="sl-SI"/>
        </w:rPr>
        <w:t xml:space="preserve"> O</w:t>
      </w:r>
      <w:r w:rsidRPr="006E2417">
        <w:rPr>
          <w:lang w:eastAsia="sl-SI"/>
        </w:rPr>
        <w:t xml:space="preserve">bčina </w:t>
      </w:r>
      <w:r w:rsidRPr="006E2417">
        <w:t>Ajdovščina</w:t>
      </w:r>
      <w:r w:rsidRPr="006E2417">
        <w:rPr>
          <w:lang w:eastAsia="sl-SI"/>
        </w:rPr>
        <w:t xml:space="preserve"> ni nominirala, na to situacijo </w:t>
      </w:r>
      <w:r>
        <w:rPr>
          <w:lang w:eastAsia="sl-SI"/>
        </w:rPr>
        <w:t xml:space="preserve">pa se </w:t>
      </w:r>
      <w:r w:rsidRPr="006E2417">
        <w:rPr>
          <w:lang w:eastAsia="sl-SI"/>
        </w:rPr>
        <w:t>tudi ni odzvala.</w:t>
      </w:r>
      <w:r w:rsidRPr="006E2417">
        <w:t xml:space="preserve"> Objekt je bil dokončan v načrtovanem času in v vrednosti, ki je bila za 3,3 odstotka manjša od načrtovane v investicijskem programu. Vrednost investicije na kvadratni meter je znašala 1.537 evrov, vrednost gradbeno-obrtniških del na kvadratni meter 1.210 evrov, vrednost investicije na otroka pa 13.659 evrov. Vse navedene vrednosti so bile manjše od načrtovanih. Obratovalni stroški delovanja objekta na kvadratni meter so v obdobju od oktobra do decembra 2014 znašali 7,90 evra na mesec in so bili za 0,60 evra večji od načrtovanih. </w:t>
      </w:r>
      <w:r w:rsidRPr="006E2417">
        <w:rPr>
          <w:lang w:eastAsia="sl-SI"/>
        </w:rPr>
        <w:t xml:space="preserve">Iz delnih podatkov o porabi toplotne energije izhaja, da je Občina Ajdovščina z izgradnjo </w:t>
      </w:r>
      <w:proofErr w:type="spellStart"/>
      <w:r w:rsidRPr="006E2417">
        <w:rPr>
          <w:lang w:eastAsia="sl-SI"/>
        </w:rPr>
        <w:t>nizkoenergetskega</w:t>
      </w:r>
      <w:proofErr w:type="spellEnd"/>
      <w:r w:rsidRPr="006E2417">
        <w:rPr>
          <w:lang w:eastAsia="sl-SI"/>
        </w:rPr>
        <w:t xml:space="preserve"> vrtca dosegla načrtovani prihranek pri porabi toplotne energije glede na stari objekt vrtca, vendar pa je presegla ciljno porabo toplotne energije iz dokumentov investicijske dokumentacije.</w:t>
      </w:r>
    </w:p>
    <w:p w14:paraId="682C3132" w14:textId="77777777" w:rsidR="00DC4BC5" w:rsidRPr="006E2417" w:rsidRDefault="00DC4BC5" w:rsidP="00DC4BC5">
      <w:pPr>
        <w:pStyle w:val="RStekst"/>
      </w:pPr>
    </w:p>
    <w:p w14:paraId="0268430E" w14:textId="77777777" w:rsidR="00DC4BC5" w:rsidRPr="006E2417" w:rsidRDefault="00DC4BC5" w:rsidP="00DC4BC5">
      <w:pPr>
        <w:pStyle w:val="RStekst"/>
      </w:pPr>
      <w:r w:rsidRPr="006E2417">
        <w:rPr>
          <w:lang w:eastAsia="sl-SI"/>
        </w:rPr>
        <w:t xml:space="preserve">Občina Ajdovščina je z izgradnjo novega objekta vrtca dosegla zastavljeni cilj glede števila razpoložljivih mest in glede reševanja prostorske problematike v eni enoti Otroškega vrtca </w:t>
      </w:r>
      <w:r w:rsidRPr="006E2417">
        <w:t>Ajdovščina</w:t>
      </w:r>
      <w:r w:rsidRPr="006E2417">
        <w:rPr>
          <w:lang w:eastAsia="sl-SI"/>
        </w:rPr>
        <w:t xml:space="preserve"> ter predpisane standarde glede površine v novem objektu. Izboljšalo se je tudi stanje glede števila razpoložljivih mest v namenskih objektih Otroškega vrtca </w:t>
      </w:r>
      <w:r w:rsidRPr="006E2417">
        <w:t>Ajdovščina</w:t>
      </w:r>
      <w:r w:rsidRPr="006E2417">
        <w:rPr>
          <w:lang w:eastAsia="sl-SI"/>
        </w:rPr>
        <w:t xml:space="preserve"> in stanje glede doseganja standarda notranjih igralnih površin, kljub temu pa se je</w:t>
      </w:r>
      <w:r>
        <w:rPr>
          <w:lang w:eastAsia="sl-SI"/>
        </w:rPr>
        <w:t xml:space="preserve"> Občina </w:t>
      </w:r>
      <w:r w:rsidRPr="006E2417">
        <w:t>Ajdovščina</w:t>
      </w:r>
      <w:r w:rsidRPr="006E2417">
        <w:rPr>
          <w:lang w:eastAsia="sl-SI"/>
        </w:rPr>
        <w:t xml:space="preserve"> v šolskem letu 2014/2015 še vedno soočala z nedoseganjem tega standarda </w:t>
      </w:r>
      <w:r w:rsidRPr="006E2417">
        <w:t>pri petih enota</w:t>
      </w:r>
      <w:bookmarkStart w:id="0" w:name="_GoBack"/>
      <w:bookmarkEnd w:id="0"/>
      <w:r w:rsidRPr="006E2417">
        <w:t xml:space="preserve">h </w:t>
      </w:r>
      <w:r w:rsidRPr="006E2417">
        <w:rPr>
          <w:lang w:eastAsia="sl-SI"/>
        </w:rPr>
        <w:t>Otroškega</w:t>
      </w:r>
      <w:r w:rsidRPr="006E2417">
        <w:t xml:space="preserve"> vrtca Ajdovščina, v</w:t>
      </w:r>
      <w:r>
        <w:t xml:space="preserve"> katere je bilo vključenih 83,2 </w:t>
      </w:r>
      <w:r w:rsidRPr="006E2417">
        <w:t>odstotka vseh vključenih otrok</w:t>
      </w:r>
      <w:r w:rsidRPr="006E2417">
        <w:rPr>
          <w:lang w:eastAsia="sl-SI"/>
        </w:rPr>
        <w:t xml:space="preserve">. Prav tako je morala 18,8 odstotka razpoložljivih mest še vedno zagotoviti v nenamensko grajenih objektih. Kljub temu je z zagotavljanjem dodatnih kapacitet v nenamensko grajenih objektih tudi v tem šolskem letu zagotovila, da ni bilo odklonjenih otrok v vrtcu. </w:t>
      </w:r>
      <w:r w:rsidRPr="006E2417">
        <w:t xml:space="preserve">Glede na število mest v nenamensko </w:t>
      </w:r>
      <w:r w:rsidRPr="006E2417">
        <w:rPr>
          <w:lang w:eastAsia="sl-SI"/>
        </w:rPr>
        <w:t xml:space="preserve">grajenih </w:t>
      </w:r>
      <w:r w:rsidRPr="006E2417">
        <w:t>objektih, nedoseganje standarda igralnih površin in glede na predvideno povečanje števila otrok v prihodnjih letih lahko za zagotovitev zadostnega števila mest in ustrezneg</w:t>
      </w:r>
      <w:r>
        <w:t>a standarda pričakujemo, da bo O</w:t>
      </w:r>
      <w:r w:rsidRPr="006E2417">
        <w:t>bčina Ajdovščina morala sprejeti odločitev o nadaljnjih investicijah v objekte vrtca.</w:t>
      </w:r>
    </w:p>
    <w:p w14:paraId="74E1152C" w14:textId="77777777" w:rsidR="00DC4BC5" w:rsidRPr="006E2417" w:rsidRDefault="00DC4BC5" w:rsidP="00DC4BC5">
      <w:pPr>
        <w:pStyle w:val="RStekst"/>
      </w:pPr>
    </w:p>
    <w:p w14:paraId="79F635D0" w14:textId="77777777" w:rsidR="00DC4BC5" w:rsidRPr="006E2417" w:rsidRDefault="00DC4BC5" w:rsidP="00DC4BC5">
      <w:pPr>
        <w:pStyle w:val="RStekst"/>
        <w:rPr>
          <w:lang w:eastAsia="sl-SI"/>
        </w:rPr>
      </w:pPr>
      <w:r w:rsidRPr="006E2417">
        <w:t xml:space="preserve">O doseganju ciljev je Občina Ajdovščina letno poročala v obrazložitvah zaključnih računov proračunov, vendar se je pri tem osredotočala le na podatke o porabljenih sredstvih ter izvedenih aktivnostih v posameznem letu, </w:t>
      </w:r>
      <w:r w:rsidRPr="006E2417">
        <w:rPr>
          <w:color w:val="000000" w:themeColor="text1"/>
        </w:rPr>
        <w:t>po zaključku projekta pa občinskemu svetu niso bili podrobneje predstavljeni podatki o</w:t>
      </w:r>
      <w:r>
        <w:rPr>
          <w:color w:val="000000" w:themeColor="text1"/>
        </w:rPr>
        <w:t xml:space="preserve"> </w:t>
      </w:r>
      <w:r w:rsidRPr="006E2417">
        <w:rPr>
          <w:color w:val="000000" w:themeColor="text1"/>
        </w:rPr>
        <w:t>investiciji, doseganju njenih ciljev, spremembah na področju predšolske vzgoje zaradi investicije ter podatki o doseganju oziroma nedoseganju ciljev pri porabi toplotne energije, prihrankih ter stroških delovanja objekta.</w:t>
      </w:r>
    </w:p>
    <w:p w14:paraId="757B74DB" w14:textId="77777777" w:rsidR="00DC4BC5" w:rsidRPr="006E2417" w:rsidRDefault="00DC4BC5" w:rsidP="00DC4BC5">
      <w:pPr>
        <w:pStyle w:val="RStekst"/>
      </w:pPr>
    </w:p>
    <w:p w14:paraId="1C3EDEFC" w14:textId="77777777" w:rsidR="00DC4BC5" w:rsidRPr="006E2417" w:rsidRDefault="00DC4BC5" w:rsidP="00DC4BC5">
      <w:pPr>
        <w:pStyle w:val="RStekst"/>
      </w:pPr>
      <w:r w:rsidRPr="006E2417">
        <w:t>Računsko sodišče je</w:t>
      </w:r>
      <w:r>
        <w:t xml:space="preserve"> </w:t>
      </w:r>
      <w:r w:rsidRPr="006E2417">
        <w:t>Občin</w:t>
      </w:r>
      <w:r>
        <w:t>i</w:t>
      </w:r>
      <w:r w:rsidRPr="006E2417">
        <w:t xml:space="preserve"> Ajdovščina podalo </w:t>
      </w:r>
      <w:r w:rsidRPr="006E2417">
        <w:rPr>
          <w:i/>
        </w:rPr>
        <w:t>priporočila</w:t>
      </w:r>
      <w:r w:rsidRPr="006E2417">
        <w:t xml:space="preserve"> za izboljšanje poslovanja. </w:t>
      </w:r>
    </w:p>
    <w:p w14:paraId="32FD32E7" w14:textId="77777777" w:rsidR="00DC4BC5" w:rsidRDefault="00DC4BC5" w:rsidP="00DC4BC5">
      <w:pPr>
        <w:pStyle w:val="RStekst"/>
      </w:pPr>
    </w:p>
    <w:p w14:paraId="36969B17" w14:textId="77777777" w:rsidR="00DC4BC5" w:rsidRDefault="00DC4BC5" w:rsidP="00DC4BC5">
      <w:pPr>
        <w:pStyle w:val="RStekst"/>
      </w:pPr>
    </w:p>
    <w:p w14:paraId="4AC88CA8" w14:textId="520359BF" w:rsidR="00E00CC1" w:rsidRDefault="00DC4BC5" w:rsidP="00D2498A">
      <w:pPr>
        <w:pStyle w:val="RStekst"/>
      </w:pPr>
      <w:r>
        <w:t xml:space="preserve">Ljubljana, </w:t>
      </w:r>
      <w:r w:rsidR="006664A0" w:rsidRPr="00CE4FE6">
        <w:t>5. decembra 2016</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9A672" w14:textId="77777777" w:rsidR="00DC4BC5" w:rsidRDefault="00DC4BC5">
      <w:r>
        <w:separator/>
      </w:r>
    </w:p>
  </w:endnote>
  <w:endnote w:type="continuationSeparator" w:id="0">
    <w:p w14:paraId="1D684B6E" w14:textId="77777777" w:rsidR="00DC4BC5" w:rsidRDefault="00DC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03DB4" w14:textId="77777777" w:rsidR="000D444A" w:rsidRDefault="000D44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CD7DC" w14:textId="77777777" w:rsidR="002C5DCD" w:rsidRDefault="002C5DCD">
    <w:pPr>
      <w:jc w:val="center"/>
    </w:pPr>
    <w:r>
      <w:fldChar w:fldCharType="begin"/>
    </w:r>
    <w:r>
      <w:instrText xml:space="preserve"> PAGE </w:instrText>
    </w:r>
    <w:r>
      <w:fldChar w:fldCharType="separate"/>
    </w:r>
    <w:r w:rsidR="006664A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B4A1E" w14:textId="77777777" w:rsidR="002C5DCD" w:rsidRDefault="008965C3">
    <w:r>
      <w:rPr>
        <w:noProof/>
        <w:lang w:eastAsia="sl-SI"/>
      </w:rPr>
      <w:drawing>
        <wp:anchor distT="0" distB="0" distL="114300" distR="114300" simplePos="0" relativeHeight="251663360" behindDoc="0" locked="1" layoutInCell="1" allowOverlap="1" wp14:anchorId="2774BC6B" wp14:editId="446D2D2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8F7EE" w14:textId="77777777" w:rsidR="00DC4BC5" w:rsidRDefault="00DC4BC5">
      <w:r>
        <w:separator/>
      </w:r>
    </w:p>
  </w:footnote>
  <w:footnote w:type="continuationSeparator" w:id="0">
    <w:p w14:paraId="47B88C3D" w14:textId="77777777" w:rsidR="00DC4BC5" w:rsidRDefault="00DC4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DB21" w14:textId="77777777" w:rsidR="000D444A" w:rsidRDefault="000D44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F3D2" w14:textId="77777777" w:rsidR="000D444A" w:rsidRDefault="000D444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6B808" w14:textId="77777777" w:rsidR="002C5DCD" w:rsidRDefault="00742630">
    <w:r>
      <w:rPr>
        <w:noProof/>
        <w:lang w:eastAsia="sl-SI"/>
      </w:rPr>
      <w:drawing>
        <wp:anchor distT="0" distB="0" distL="114300" distR="114300" simplePos="0" relativeHeight="251661312" behindDoc="0" locked="1" layoutInCell="1" allowOverlap="1" wp14:anchorId="65C4A896" wp14:editId="44846DCA">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C5"/>
    <w:rsid w:val="000D444A"/>
    <w:rsid w:val="001E3435"/>
    <w:rsid w:val="001E7547"/>
    <w:rsid w:val="002C5DCD"/>
    <w:rsid w:val="002D37F3"/>
    <w:rsid w:val="002F2498"/>
    <w:rsid w:val="003535E4"/>
    <w:rsid w:val="00590644"/>
    <w:rsid w:val="005C34F4"/>
    <w:rsid w:val="005F6ED6"/>
    <w:rsid w:val="00647D7F"/>
    <w:rsid w:val="006664A0"/>
    <w:rsid w:val="006A2AFA"/>
    <w:rsid w:val="00742630"/>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DC4BC5"/>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D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DC4BC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DC4BC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D7A78FB-55E3-425D-81F9-80E4A07521F2}">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6985FA2E-49A7-43EE-BF8F-EA340AEE9B24}">
  <ds:schemaRefs>
    <ds:schemaRef ds:uri="http://schemas.microsoft.com/sharepoint/v3/contenttype/forms"/>
  </ds:schemaRefs>
</ds:datastoreItem>
</file>

<file path=customXml/itemProps3.xml><?xml version="1.0" encoding="utf-8"?>
<ds:datastoreItem xmlns:ds="http://schemas.openxmlformats.org/officeDocument/2006/customXml" ds:itemID="{8BC37831-15A1-47F7-BFBD-8EA1E9D1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1096</Words>
  <Characters>6619</Characters>
  <Application>Microsoft Office Word</Application>
  <DocSecurity>0</DocSecurity>
  <Lines>55</Lines>
  <Paragraphs>15</Paragraphs>
  <ScaleCrop>false</ScaleCrop>
  <Company/>
  <LinksUpToDate>false</LinksUpToDate>
  <CharactersWithSpaces>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2016-11-30T14:46:00Z</dcterms:created>
  <dcterms:modified xsi:type="dcterms:W3CDTF">2016-12-01T08:23:00Z</dcterms:modified>
</cp:coreProperties>
</file>