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E3B" w:rsidRDefault="000D6E3B" w:rsidP="00D2498A">
      <w:pPr>
        <w:pStyle w:val="RStekst"/>
        <w:rPr>
          <w:b/>
        </w:rPr>
      </w:pPr>
      <w:bookmarkStart w:id="0" w:name="_GoBack"/>
      <w:bookmarkEnd w:id="0"/>
    </w:p>
    <w:p w:rsidR="00996DD6" w:rsidRDefault="00996DD6" w:rsidP="00D2498A">
      <w:pPr>
        <w:pStyle w:val="RStekst"/>
        <w:rPr>
          <w:b/>
        </w:rPr>
      </w:pPr>
    </w:p>
    <w:p w:rsidR="00D81DC8" w:rsidRPr="00C103EC" w:rsidRDefault="00D81DC8" w:rsidP="00D2498A">
      <w:pPr>
        <w:pStyle w:val="RStekst"/>
        <w:rPr>
          <w:b/>
          <w:i/>
        </w:rPr>
      </w:pPr>
      <w:r>
        <w:rPr>
          <w:b/>
        </w:rPr>
        <w:t xml:space="preserve">Summary of the audit report </w:t>
      </w:r>
      <w:r w:rsidR="00DB6E1D">
        <w:rPr>
          <w:b/>
          <w:i/>
        </w:rPr>
        <w:t>IT Support</w:t>
      </w:r>
      <w:r w:rsidR="00DB6E1D" w:rsidDel="00FD288F">
        <w:rPr>
          <w:b/>
          <w:i/>
        </w:rPr>
        <w:t xml:space="preserve"> </w:t>
      </w:r>
      <w:r w:rsidR="00DB6E1D">
        <w:rPr>
          <w:b/>
          <w:i/>
        </w:rPr>
        <w:t xml:space="preserve">of the </w:t>
      </w:r>
      <w:r>
        <w:rPr>
          <w:b/>
          <w:i/>
        </w:rPr>
        <w:t>University Medical Centre Ljubljana</w:t>
      </w:r>
    </w:p>
    <w:p w:rsidR="00585394" w:rsidRPr="00C103EC" w:rsidRDefault="00585394" w:rsidP="00D2498A">
      <w:pPr>
        <w:pStyle w:val="RStekst"/>
      </w:pPr>
    </w:p>
    <w:p w:rsidR="00996DD6" w:rsidRPr="00C103EC" w:rsidRDefault="00996DD6" w:rsidP="00D2498A">
      <w:pPr>
        <w:pStyle w:val="RStekst"/>
      </w:pPr>
    </w:p>
    <w:p w:rsidR="00996DD6" w:rsidRPr="00C103EC" w:rsidRDefault="00D317E3" w:rsidP="00996DD6">
      <w:pPr>
        <w:pStyle w:val="RStekst"/>
      </w:pPr>
      <w:r>
        <w:t xml:space="preserve">The Court of Audit of the Republic of Slovenia has conducted a performance audit of the largest Slovenian health institute – </w:t>
      </w:r>
      <w:r w:rsidR="00996DD6">
        <w:t xml:space="preserve">the University Medical Centre Ljubljana (hereinafter after referred to as: the </w:t>
      </w:r>
      <w:r w:rsidR="00DB6E1D">
        <w:t>UMCL</w:t>
      </w:r>
      <w:r w:rsidR="00996DD6">
        <w:t xml:space="preserve">) </w:t>
      </w:r>
      <w:r>
        <w:t>and established</w:t>
      </w:r>
      <w:r>
        <w:rPr>
          <w:i/>
        </w:rPr>
        <w:t xml:space="preserve"> </w:t>
      </w:r>
      <w:r w:rsidRPr="00443F34">
        <w:t>that it</w:t>
      </w:r>
      <w:r>
        <w:rPr>
          <w:i/>
        </w:rPr>
        <w:t xml:space="preserve"> </w:t>
      </w:r>
      <w:r w:rsidR="00996DD6">
        <w:rPr>
          <w:i/>
        </w:rPr>
        <w:t>failed to provide an efficient IT support of its operations in the period from 1 January 2011 to 31 May 2015</w:t>
      </w:r>
      <w:r w:rsidR="00655CFC">
        <w:t>.</w:t>
      </w:r>
      <w:r w:rsidR="00996DD6">
        <w:rPr>
          <w:i/>
        </w:rPr>
        <w:t xml:space="preserve"> </w:t>
      </w:r>
    </w:p>
    <w:p w:rsidR="00996DD6" w:rsidRPr="00C103EC" w:rsidRDefault="00996DD6" w:rsidP="00996DD6">
      <w:pPr>
        <w:pStyle w:val="RStekst"/>
      </w:pPr>
    </w:p>
    <w:p w:rsidR="00996DD6" w:rsidRPr="00C103EC" w:rsidRDefault="00996DD6" w:rsidP="00996DD6">
      <w:pPr>
        <w:pStyle w:val="RStekst"/>
      </w:pPr>
      <w:r>
        <w:t xml:space="preserve">The IT environment of the </w:t>
      </w:r>
      <w:r w:rsidR="00DB6E1D">
        <w:t xml:space="preserve">UMCL </w:t>
      </w:r>
      <w:r>
        <w:t xml:space="preserve">was fragmented, consisting of </w:t>
      </w:r>
      <w:r w:rsidR="00AD6E5B">
        <w:t>num</w:t>
      </w:r>
      <w:r w:rsidR="00AD6E5B">
        <w:t>erous</w:t>
      </w:r>
      <w:r>
        <w:t xml:space="preserve"> </w:t>
      </w:r>
      <w:r w:rsidR="00AD6E5B">
        <w:t xml:space="preserve">poorly </w:t>
      </w:r>
      <w:r w:rsidR="00AD6E5B">
        <w:t>integrated</w:t>
      </w:r>
      <w:r w:rsidR="00AD6E5B" w:rsidDel="00AD6E5B">
        <w:t xml:space="preserve"> </w:t>
      </w:r>
      <w:r>
        <w:t xml:space="preserve">IT solutions. The </w:t>
      </w:r>
      <w:r w:rsidR="00DB6E1D">
        <w:t>UMCL</w:t>
      </w:r>
      <w:r>
        <w:t xml:space="preserve">'s operations </w:t>
      </w:r>
      <w:r w:rsidR="00AD6E5B">
        <w:t>were</w:t>
      </w:r>
      <w:r>
        <w:t xml:space="preserve"> mainly based on paper documentation. Additionally, its employees were oblig</w:t>
      </w:r>
      <w:r w:rsidR="00D402D2">
        <w:t xml:space="preserve">ed to manually complete </w:t>
      </w:r>
      <w:r w:rsidR="00AD6E5B">
        <w:t xml:space="preserve">numerous </w:t>
      </w:r>
      <w:r w:rsidR="00D402D2">
        <w:t>pre-printed </w:t>
      </w:r>
      <w:r>
        <w:t xml:space="preserve">organisational forms and </w:t>
      </w:r>
      <w:r w:rsidR="00AD6E5B">
        <w:t>manually transfer data among various IT solutions</w:t>
      </w:r>
      <w:r>
        <w:t xml:space="preserve">. </w:t>
      </w:r>
    </w:p>
    <w:p w:rsidR="00996DD6" w:rsidRPr="00C103EC" w:rsidRDefault="00996DD6" w:rsidP="00996DD6">
      <w:pPr>
        <w:pStyle w:val="RStekst"/>
      </w:pPr>
    </w:p>
    <w:p w:rsidR="00996DD6" w:rsidRPr="00C103EC" w:rsidRDefault="00996DD6" w:rsidP="00996DD6">
      <w:pPr>
        <w:pStyle w:val="RStekst"/>
      </w:pPr>
      <w:r>
        <w:t>It was also established that some of the functionalities of the IT solutions in use were duplicated respectively support</w:t>
      </w:r>
      <w:r w:rsidR="00D317E3">
        <w:t>ing</w:t>
      </w:r>
      <w:r>
        <w:t xml:space="preserve"> similar fields of work. The main reason hindering the efficient operation of the </w:t>
      </w:r>
      <w:r w:rsidR="00DB6E1D">
        <w:t>UMCL</w:t>
      </w:r>
      <w:r>
        <w:t xml:space="preserve"> was the use of </w:t>
      </w:r>
      <w:r w:rsidR="00AD6E5B">
        <w:t xml:space="preserve">three different main Hospital Information Systems (HIS) which </w:t>
      </w:r>
      <w:r>
        <w:t xml:space="preserve">prevented doctors and other authorised employees from accessing the data on previous treatments of their </w:t>
      </w:r>
      <w:r>
        <w:t>patients</w:t>
      </w:r>
      <w:r w:rsidR="004006EE">
        <w:t>,</w:t>
      </w:r>
      <w:r>
        <w:t xml:space="preserve"> carried </w:t>
      </w:r>
      <w:r>
        <w:t xml:space="preserve">out by other healthcare units. </w:t>
      </w:r>
      <w:r w:rsidR="00F36466">
        <w:t>In those c</w:t>
      </w:r>
      <w:r>
        <w:t>ase</w:t>
      </w:r>
      <w:r w:rsidR="000838CD">
        <w:t>s</w:t>
      </w:r>
      <w:r>
        <w:t xml:space="preserve"> </w:t>
      </w:r>
      <w:r w:rsidR="000838CD">
        <w:t xml:space="preserve">where </w:t>
      </w:r>
      <w:r>
        <w:t xml:space="preserve">the treatment required patient transfers between healthcare units, the necessary medical documentation was generally provided in paper form. </w:t>
      </w:r>
    </w:p>
    <w:p w:rsidR="00996DD6" w:rsidRPr="00C103EC" w:rsidRDefault="00996DD6" w:rsidP="00996DD6">
      <w:pPr>
        <w:pStyle w:val="RStekst"/>
      </w:pPr>
    </w:p>
    <w:p w:rsidR="00996DD6" w:rsidRPr="00C103EC" w:rsidRDefault="00836734" w:rsidP="00996DD6">
      <w:pPr>
        <w:pStyle w:val="RStekst"/>
      </w:pPr>
      <w:r>
        <w:t>Even the healthcare units using the same main Hospital Information System (HIS) could not access patients’ data in other units</w:t>
      </w:r>
      <w:r w:rsidR="00996DD6">
        <w:t xml:space="preserve">, since the </w:t>
      </w:r>
      <w:r w:rsidR="00DB6E1D">
        <w:t xml:space="preserve">UMCL </w:t>
      </w:r>
      <w:r w:rsidR="00996DD6">
        <w:t xml:space="preserve">failed to establish adequate access </w:t>
      </w:r>
      <w:r w:rsidR="00996DD6">
        <w:t xml:space="preserve">management </w:t>
      </w:r>
      <w:r w:rsidR="004006EE">
        <w:t xml:space="preserve">for </w:t>
      </w:r>
      <w:r w:rsidR="00996DD6">
        <w:t xml:space="preserve">sensitive </w:t>
      </w:r>
      <w:r w:rsidR="00996DD6">
        <w:t xml:space="preserve">personal data. </w:t>
      </w:r>
    </w:p>
    <w:p w:rsidR="00996DD6" w:rsidRPr="00C103EC" w:rsidRDefault="00996DD6" w:rsidP="00996DD6">
      <w:pPr>
        <w:pStyle w:val="RStekst"/>
      </w:pPr>
    </w:p>
    <w:p w:rsidR="00996DD6" w:rsidRPr="00C103EC" w:rsidRDefault="009B70D2" w:rsidP="00996DD6">
      <w:pPr>
        <w:pStyle w:val="RStekst"/>
      </w:pPr>
      <w:r>
        <w:t>Although</w:t>
      </w:r>
      <w:r w:rsidR="00996DD6">
        <w:t xml:space="preserve"> the </w:t>
      </w:r>
      <w:r w:rsidR="00DB6E1D">
        <w:t xml:space="preserve">UMCL </w:t>
      </w:r>
      <w:r w:rsidR="00996DD6">
        <w:t>foresaw</w:t>
      </w:r>
      <w:r w:rsidR="00C3457B">
        <w:t xml:space="preserve"> a</w:t>
      </w:r>
      <w:r w:rsidR="00996DD6">
        <w:t xml:space="preserve"> series of </w:t>
      </w:r>
      <w:r w:rsidR="00C3457B">
        <w:t xml:space="preserve">IT support </w:t>
      </w:r>
      <w:r w:rsidR="00996DD6">
        <w:t xml:space="preserve">improvements, </w:t>
      </w:r>
      <w:r w:rsidR="00C3457B">
        <w:t>it deviated</w:t>
      </w:r>
      <w:r w:rsidR="00C3457B" w:rsidDel="00C3457B">
        <w:t xml:space="preserve"> </w:t>
      </w:r>
      <w:r w:rsidR="00996DD6">
        <w:t xml:space="preserve">from strategic plans which in some cases further increased the fragmentation of the IT environment. </w:t>
      </w:r>
    </w:p>
    <w:p w:rsidR="00996DD6" w:rsidRPr="00C103EC" w:rsidRDefault="00996DD6" w:rsidP="00996DD6">
      <w:pPr>
        <w:pStyle w:val="RStekst"/>
      </w:pPr>
    </w:p>
    <w:p w:rsidR="00947611" w:rsidRDefault="00996DD6" w:rsidP="00947611">
      <w:pPr>
        <w:pStyle w:val="RStekst"/>
      </w:pPr>
      <w:r>
        <w:t xml:space="preserve">The </w:t>
      </w:r>
      <w:r w:rsidR="00DB6E1D">
        <w:t>UMCL</w:t>
      </w:r>
      <w:r>
        <w:t>'s expenditure on IT support in the period from 2011 to 2014 represented from 1.3 percent to 1.7 percent of its total expenditure respectively from EUR 5.5 million to EUR 7.7</w:t>
      </w:r>
      <w:r w:rsidR="00A1036F">
        <w:t> </w:t>
      </w:r>
      <w:r>
        <w:t xml:space="preserve">million per year. The concerned expenditure in the period covered by the audit thus amounted to approximately EUR 29.5 million in total. </w:t>
      </w:r>
      <w:r w:rsidR="00947611" w:rsidRPr="00842F44">
        <w:t xml:space="preserve">Among the expenditures for IT support </w:t>
      </w:r>
      <w:r w:rsidR="00947611">
        <w:t xml:space="preserve">of the </w:t>
      </w:r>
      <w:r w:rsidR="00DB6E1D">
        <w:t xml:space="preserve">UMCL </w:t>
      </w:r>
      <w:r w:rsidR="00947611" w:rsidRPr="00842F44">
        <w:t>there are also</w:t>
      </w:r>
      <w:r w:rsidR="00947611">
        <w:t xml:space="preserve"> purchases of hardware and IT solutions that were carried out by the Ministry of Health</w:t>
      </w:r>
      <w:r w:rsidR="00917E1C">
        <w:t xml:space="preserve"> and that </w:t>
      </w:r>
      <w:r w:rsidR="00917E1C">
        <w:t>amounted</w:t>
      </w:r>
      <w:r w:rsidR="004006EE">
        <w:t xml:space="preserve"> to</w:t>
      </w:r>
      <w:r w:rsidR="00917E1C">
        <w:t xml:space="preserve"> over </w:t>
      </w:r>
      <w:r w:rsidR="00917E1C">
        <w:t>EUR 9.1 </w:t>
      </w:r>
      <w:r w:rsidR="00947611">
        <w:t xml:space="preserve">million during that period. </w:t>
      </w:r>
    </w:p>
    <w:p w:rsidR="00947611" w:rsidRDefault="00947611" w:rsidP="00947611">
      <w:pPr>
        <w:pStyle w:val="RStekst"/>
      </w:pPr>
    </w:p>
    <w:p w:rsidR="00947611" w:rsidRDefault="00947611" w:rsidP="00947611">
      <w:pPr>
        <w:pStyle w:val="RStekst"/>
      </w:pPr>
      <w:r>
        <w:t xml:space="preserve">The decision of the </w:t>
      </w:r>
      <w:r w:rsidR="00DB6E1D">
        <w:t xml:space="preserve">UMCL </w:t>
      </w:r>
      <w:r>
        <w:t xml:space="preserve">to purchase IT solutions had, among others, a direct impact on the amount of the expenditures relating to the IT support. </w:t>
      </w:r>
      <w:r w:rsidR="00C362FD" w:rsidRPr="00DF65B5">
        <w:rPr>
          <w:lang w:val="en-US"/>
        </w:rPr>
        <w:t xml:space="preserve">Although </w:t>
      </w:r>
      <w:r w:rsidR="00C362FD">
        <w:rPr>
          <w:lang w:val="en-US"/>
        </w:rPr>
        <w:t>the UMCL</w:t>
      </w:r>
      <w:r w:rsidR="00C362FD" w:rsidRPr="00DF65B5">
        <w:rPr>
          <w:lang w:val="en-US"/>
        </w:rPr>
        <w:t xml:space="preserve"> frequently purchased</w:t>
      </w:r>
      <w:r w:rsidR="00C362FD">
        <w:rPr>
          <w:lang w:val="en-US"/>
        </w:rPr>
        <w:t xml:space="preserve"> highly customized IT</w:t>
      </w:r>
      <w:r w:rsidR="00436C0E">
        <w:rPr>
          <w:lang w:val="en-US"/>
        </w:rPr>
        <w:t> </w:t>
      </w:r>
      <w:r w:rsidR="00C362FD">
        <w:rPr>
          <w:lang w:val="en-US"/>
        </w:rPr>
        <w:t>solutions</w:t>
      </w:r>
      <w:r w:rsidR="00C362FD" w:rsidRPr="00DF65B5">
        <w:rPr>
          <w:lang w:val="en-US"/>
        </w:rPr>
        <w:t xml:space="preserve"> that were developed using the expertise of its employees, </w:t>
      </w:r>
      <w:r w:rsidR="00C362FD">
        <w:rPr>
          <w:lang w:val="en-US"/>
        </w:rPr>
        <w:t xml:space="preserve">holders of the copyright remained the external stakeholders. All future maintenance and upgrade services had to be procured from the original vendor, which significantly limited the UMCL's negotiating position and thus its ability to achieve </w:t>
      </w:r>
      <w:r w:rsidR="00C362FD">
        <w:t>e</w:t>
      </w:r>
      <w:r w:rsidR="00436C0E">
        <w:t>conomically advantageous prices</w:t>
      </w:r>
      <w:r>
        <w:t xml:space="preserve">. </w:t>
      </w:r>
    </w:p>
    <w:p w:rsidR="00947611" w:rsidRDefault="00947611" w:rsidP="00947611">
      <w:pPr>
        <w:pStyle w:val="RStekst"/>
      </w:pPr>
    </w:p>
    <w:p w:rsidR="00947611" w:rsidRDefault="00947611" w:rsidP="00947611">
      <w:pPr>
        <w:pStyle w:val="RStekst"/>
      </w:pPr>
      <w:r>
        <w:t xml:space="preserve">In many cases the </w:t>
      </w:r>
      <w:r w:rsidR="00DB6E1D">
        <w:t xml:space="preserve">UMCL </w:t>
      </w:r>
      <w:r>
        <w:t xml:space="preserve">purchased IT solutions that were </w:t>
      </w:r>
      <w:r w:rsidR="000F3682">
        <w:t xml:space="preserve">put in use </w:t>
      </w:r>
      <w:r>
        <w:t xml:space="preserve">several years later or were not yet </w:t>
      </w:r>
      <w:r w:rsidR="004006EE">
        <w:t xml:space="preserve">being used </w:t>
      </w:r>
      <w:r>
        <w:t xml:space="preserve">by the </w:t>
      </w:r>
      <w:r>
        <w:t xml:space="preserve">end of the period covered by the audit.  </w:t>
      </w:r>
    </w:p>
    <w:p w:rsidR="00947611" w:rsidRDefault="00947611" w:rsidP="00947611">
      <w:pPr>
        <w:pStyle w:val="RStekst"/>
      </w:pPr>
    </w:p>
    <w:p w:rsidR="00947611" w:rsidRDefault="00947611" w:rsidP="00947611">
      <w:pPr>
        <w:pStyle w:val="RStekst"/>
      </w:pPr>
      <w:r>
        <w:lastRenderedPageBreak/>
        <w:t xml:space="preserve">When </w:t>
      </w:r>
      <w:r>
        <w:t xml:space="preserve">providing IT support </w:t>
      </w:r>
      <w:r>
        <w:t xml:space="preserve">the </w:t>
      </w:r>
      <w:r w:rsidR="00DB6E1D">
        <w:t xml:space="preserve">UMCL </w:t>
      </w:r>
      <w:r>
        <w:t xml:space="preserve">greatly relied on the suppliers of </w:t>
      </w:r>
      <w:r w:rsidR="004F55B7">
        <w:t xml:space="preserve">its </w:t>
      </w:r>
      <w:r>
        <w:t xml:space="preserve">IT solutions and external service providers. </w:t>
      </w:r>
      <w:r w:rsidR="004F55B7">
        <w:t>C</w:t>
      </w:r>
      <w:r>
        <w:t xml:space="preserve">ontracts </w:t>
      </w:r>
      <w:r w:rsidR="004F55B7">
        <w:t xml:space="preserve">the UMCL </w:t>
      </w:r>
      <w:r>
        <w:t xml:space="preserve">concluded with </w:t>
      </w:r>
      <w:r w:rsidR="004F55B7">
        <w:t xml:space="preserve">the external </w:t>
      </w:r>
      <w:r>
        <w:t xml:space="preserve">stakeholders </w:t>
      </w:r>
      <w:r w:rsidR="004F55B7">
        <w:t xml:space="preserve">had, however, not </w:t>
      </w:r>
      <w:r>
        <w:t>adequately protect</w:t>
      </w:r>
      <w:r w:rsidR="009C11F8">
        <w:t>ed</w:t>
      </w:r>
      <w:r>
        <w:t xml:space="preserve"> the </w:t>
      </w:r>
      <w:r w:rsidR="00DB6E1D">
        <w:t>UMCL</w:t>
      </w:r>
      <w:r w:rsidR="006A2CFF">
        <w:t>'</w:t>
      </w:r>
      <w:r>
        <w:t xml:space="preserve">s interests. </w:t>
      </w:r>
    </w:p>
    <w:p w:rsidR="00947611" w:rsidRDefault="00947611" w:rsidP="00947611">
      <w:pPr>
        <w:pStyle w:val="RStekst"/>
      </w:pPr>
    </w:p>
    <w:p w:rsidR="00947611" w:rsidRDefault="00947611" w:rsidP="00947611">
      <w:pPr>
        <w:pStyle w:val="RStekst"/>
      </w:pPr>
      <w:r>
        <w:t xml:space="preserve">Even though the </w:t>
      </w:r>
      <w:r w:rsidR="00DB6E1D">
        <w:t xml:space="preserve">UMCL </w:t>
      </w:r>
      <w:r>
        <w:t xml:space="preserve">managed sensitive personal and confidential data, it did not provide for appropriate level of information security. Several important safety deficiencies were identified in </w:t>
      </w:r>
      <w:r w:rsidR="00FD288F">
        <w:t xml:space="preserve">its </w:t>
      </w:r>
      <w:r>
        <w:t>IT</w:t>
      </w:r>
      <w:r w:rsidR="00370124">
        <w:t> </w:t>
      </w:r>
      <w:r>
        <w:t>environment, among others, unclearly defined roles and responsibilities of stakeholders in the field of information security, inappropriate procedures for managing user accesses and passwords as well as shortcomings in procedures for implementing security correction measures.</w:t>
      </w:r>
    </w:p>
    <w:p w:rsidR="00947611" w:rsidRDefault="00947611" w:rsidP="00947611">
      <w:pPr>
        <w:pStyle w:val="RStekst"/>
      </w:pPr>
    </w:p>
    <w:p w:rsidR="00947611" w:rsidRDefault="00947611" w:rsidP="00947611">
      <w:pPr>
        <w:pStyle w:val="RStekst"/>
      </w:pPr>
      <w:r>
        <w:t xml:space="preserve">The Court of Audit demanded from the </w:t>
      </w:r>
      <w:r w:rsidR="00DB6E1D">
        <w:t xml:space="preserve">UMCL </w:t>
      </w:r>
      <w:r>
        <w:t xml:space="preserve">to submit a </w:t>
      </w:r>
      <w:r w:rsidRPr="0095123B">
        <w:rPr>
          <w:i/>
        </w:rPr>
        <w:t>response report</w:t>
      </w:r>
      <w:r>
        <w:t xml:space="preserve"> indicating corrective measures relating to disclosed inefficiencies and proposed </w:t>
      </w:r>
      <w:r w:rsidRPr="0095123B">
        <w:rPr>
          <w:i/>
        </w:rPr>
        <w:t>recommendations</w:t>
      </w:r>
      <w:r>
        <w:t xml:space="preserve"> improving efficiency of the IT support within the </w:t>
      </w:r>
      <w:r w:rsidR="00DB6E1D">
        <w:t>UMCL</w:t>
      </w:r>
      <w:r>
        <w:t>.</w:t>
      </w:r>
    </w:p>
    <w:p w:rsidR="00947611" w:rsidRDefault="00947611" w:rsidP="00947611">
      <w:pPr>
        <w:pStyle w:val="RStekst"/>
      </w:pPr>
    </w:p>
    <w:p w:rsidR="00947611" w:rsidRDefault="00947611" w:rsidP="00947611">
      <w:pPr>
        <w:pStyle w:val="RStekst"/>
      </w:pPr>
      <w:r>
        <w:t xml:space="preserve">Ljubljana, 7 </w:t>
      </w:r>
      <w:r w:rsidR="006F235B">
        <w:t>June</w:t>
      </w:r>
      <w:r>
        <w:t xml:space="preserve"> 2016</w:t>
      </w:r>
    </w:p>
    <w:p w:rsidR="00947611" w:rsidRDefault="00947611" w:rsidP="00947611">
      <w:pPr>
        <w:pStyle w:val="RStekst"/>
      </w:pPr>
    </w:p>
    <w:p w:rsidR="005A00A1" w:rsidRDefault="005A00A1" w:rsidP="00641CBA">
      <w:pPr>
        <w:pStyle w:val="RStekst"/>
      </w:pPr>
    </w:p>
    <w:sectPr w:rsidR="005A00A1">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B5F" w:rsidRDefault="00C51B5F">
      <w:r>
        <w:separator/>
      </w:r>
    </w:p>
  </w:endnote>
  <w:endnote w:type="continuationSeparator" w:id="0">
    <w:p w:rsidR="00C51B5F" w:rsidRDefault="00C5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2C5DCD">
    <w:pPr>
      <w:jc w:val="center"/>
    </w:pPr>
    <w:r>
      <w:fldChar w:fldCharType="begin"/>
    </w:r>
    <w:r>
      <w:instrText xml:space="preserve"> PAGE </w:instrText>
    </w:r>
    <w:r>
      <w:fldChar w:fldCharType="separate"/>
    </w:r>
    <w:r w:rsidR="00641CB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8965C3">
    <w:r>
      <w:rPr>
        <w:noProof/>
        <w:lang w:val="sl-SI" w:eastAsia="sl-SI" w:bidi="ar-SA"/>
      </w:rPr>
      <w:drawing>
        <wp:anchor distT="0" distB="0" distL="114300" distR="114300" simplePos="0" relativeHeight="251663360" behindDoc="0" locked="1" layoutInCell="1" allowOverlap="1" wp14:anchorId="4ECC1CCB" wp14:editId="4ECC1CCC">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B5F" w:rsidRDefault="00C51B5F">
      <w:r>
        <w:separator/>
      </w:r>
    </w:p>
  </w:footnote>
  <w:footnote w:type="continuationSeparator" w:id="0">
    <w:p w:rsidR="00C51B5F" w:rsidRDefault="00C51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742630">
    <w:r>
      <w:rPr>
        <w:noProof/>
        <w:lang w:val="sl-SI" w:eastAsia="sl-SI" w:bidi="ar-SA"/>
      </w:rPr>
      <w:drawing>
        <wp:anchor distT="0" distB="0" distL="114300" distR="114300" simplePos="0" relativeHeight="251661312" behindDoc="0" locked="1" layoutInCell="1" allowOverlap="1" wp14:anchorId="4ECC1CC9" wp14:editId="4ECC1CCA">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trackRevisions/>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8"/>
    <w:rsid w:val="000425C3"/>
    <w:rsid w:val="000838CD"/>
    <w:rsid w:val="000D6E3B"/>
    <w:rsid w:val="000E3131"/>
    <w:rsid w:val="000F3682"/>
    <w:rsid w:val="0010178F"/>
    <w:rsid w:val="001020D6"/>
    <w:rsid w:val="001064F7"/>
    <w:rsid w:val="00140FA1"/>
    <w:rsid w:val="00160A40"/>
    <w:rsid w:val="0019657A"/>
    <w:rsid w:val="001C0312"/>
    <w:rsid w:val="001E1A07"/>
    <w:rsid w:val="001E3435"/>
    <w:rsid w:val="001E7547"/>
    <w:rsid w:val="00257A15"/>
    <w:rsid w:val="002C5DCD"/>
    <w:rsid w:val="002D37F3"/>
    <w:rsid w:val="002F2498"/>
    <w:rsid w:val="00303BD3"/>
    <w:rsid w:val="0031168A"/>
    <w:rsid w:val="003535E4"/>
    <w:rsid w:val="00370124"/>
    <w:rsid w:val="003958CC"/>
    <w:rsid w:val="003C0AEA"/>
    <w:rsid w:val="004006EE"/>
    <w:rsid w:val="00436C0E"/>
    <w:rsid w:val="00443F34"/>
    <w:rsid w:val="004A4D60"/>
    <w:rsid w:val="004C43E3"/>
    <w:rsid w:val="004C4B33"/>
    <w:rsid w:val="004E73DC"/>
    <w:rsid w:val="004F55B7"/>
    <w:rsid w:val="00551B9A"/>
    <w:rsid w:val="00554207"/>
    <w:rsid w:val="00562FCC"/>
    <w:rsid w:val="005814EB"/>
    <w:rsid w:val="00585394"/>
    <w:rsid w:val="00590644"/>
    <w:rsid w:val="005A00A1"/>
    <w:rsid w:val="005C34F4"/>
    <w:rsid w:val="005D5FEC"/>
    <w:rsid w:val="005E7932"/>
    <w:rsid w:val="005F6ED6"/>
    <w:rsid w:val="00607792"/>
    <w:rsid w:val="006156FE"/>
    <w:rsid w:val="0063237C"/>
    <w:rsid w:val="00641CBA"/>
    <w:rsid w:val="00647D7F"/>
    <w:rsid w:val="0065022C"/>
    <w:rsid w:val="00655CFC"/>
    <w:rsid w:val="006A2AFA"/>
    <w:rsid w:val="006A2CFF"/>
    <w:rsid w:val="006B769A"/>
    <w:rsid w:val="006F235B"/>
    <w:rsid w:val="006F24FB"/>
    <w:rsid w:val="007050E3"/>
    <w:rsid w:val="007247E7"/>
    <w:rsid w:val="00742630"/>
    <w:rsid w:val="00791A60"/>
    <w:rsid w:val="007A3DA6"/>
    <w:rsid w:val="007B2CE5"/>
    <w:rsid w:val="00824513"/>
    <w:rsid w:val="00836734"/>
    <w:rsid w:val="008965C3"/>
    <w:rsid w:val="008A4178"/>
    <w:rsid w:val="008C5768"/>
    <w:rsid w:val="008E748F"/>
    <w:rsid w:val="009011C0"/>
    <w:rsid w:val="00912111"/>
    <w:rsid w:val="00917E1C"/>
    <w:rsid w:val="00947611"/>
    <w:rsid w:val="00994CA2"/>
    <w:rsid w:val="00996DD6"/>
    <w:rsid w:val="009B70D2"/>
    <w:rsid w:val="009C11F8"/>
    <w:rsid w:val="009E07FA"/>
    <w:rsid w:val="00A1036F"/>
    <w:rsid w:val="00AA218A"/>
    <w:rsid w:val="00AB03E9"/>
    <w:rsid w:val="00AC2C40"/>
    <w:rsid w:val="00AC54E0"/>
    <w:rsid w:val="00AD6E5B"/>
    <w:rsid w:val="00AE02D0"/>
    <w:rsid w:val="00B008F8"/>
    <w:rsid w:val="00B92131"/>
    <w:rsid w:val="00BA6C40"/>
    <w:rsid w:val="00BA74F7"/>
    <w:rsid w:val="00C07C0D"/>
    <w:rsid w:val="00C103EC"/>
    <w:rsid w:val="00C31D5B"/>
    <w:rsid w:val="00C3457B"/>
    <w:rsid w:val="00C362FD"/>
    <w:rsid w:val="00C46F3D"/>
    <w:rsid w:val="00C51B5F"/>
    <w:rsid w:val="00C57CE6"/>
    <w:rsid w:val="00C74005"/>
    <w:rsid w:val="00C751A7"/>
    <w:rsid w:val="00CB123C"/>
    <w:rsid w:val="00CF7C19"/>
    <w:rsid w:val="00D2498A"/>
    <w:rsid w:val="00D317E3"/>
    <w:rsid w:val="00D33F39"/>
    <w:rsid w:val="00D402D2"/>
    <w:rsid w:val="00D45939"/>
    <w:rsid w:val="00D46D40"/>
    <w:rsid w:val="00D47861"/>
    <w:rsid w:val="00D7347F"/>
    <w:rsid w:val="00D81DC8"/>
    <w:rsid w:val="00D86390"/>
    <w:rsid w:val="00D875B0"/>
    <w:rsid w:val="00D94DC2"/>
    <w:rsid w:val="00DA44DA"/>
    <w:rsid w:val="00DB6E1D"/>
    <w:rsid w:val="00DC0C3B"/>
    <w:rsid w:val="00DC6299"/>
    <w:rsid w:val="00E00CC1"/>
    <w:rsid w:val="00E21563"/>
    <w:rsid w:val="00E71D7A"/>
    <w:rsid w:val="00E87B9B"/>
    <w:rsid w:val="00EB576F"/>
    <w:rsid w:val="00ED1A0F"/>
    <w:rsid w:val="00ED5A19"/>
    <w:rsid w:val="00EE6987"/>
    <w:rsid w:val="00EF3E6E"/>
    <w:rsid w:val="00F07BCD"/>
    <w:rsid w:val="00F248CB"/>
    <w:rsid w:val="00F2551F"/>
    <w:rsid w:val="00F36466"/>
    <w:rsid w:val="00F558BC"/>
    <w:rsid w:val="00F6254E"/>
    <w:rsid w:val="00F92213"/>
    <w:rsid w:val="00FA3284"/>
    <w:rsid w:val="00FC0F57"/>
    <w:rsid w:val="00FC3F45"/>
    <w:rsid w:val="00FC658D"/>
    <w:rsid w:val="00FD288F"/>
    <w:rsid w:val="00FE66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toc 4" w:uiPriority="39"/>
    <w:lsdException w:name="footnote text" w:qFormat="1"/>
    <w:lsdException w:name="caption"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uiPriority w:val="99"/>
    <w:semiHidden/>
    <w:unhideWhenUsed/>
  </w:style>
  <w:style w:type="character" w:styleId="Pripombasklic">
    <w:name w:val="annotation reference"/>
    <w:uiPriority w:val="99"/>
    <w:semiHidden/>
    <w:unhideWhenUsed/>
    <w:rPr>
      <w:sz w:val="16"/>
      <w:szCs w:val="16"/>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en-GB" w:eastAsia="en-GB" w:bidi="en-GB"/>
    </w:rPr>
  </w:style>
  <w:style w:type="character" w:styleId="tevilkastrani">
    <w:name w:val="page number"/>
    <w:rsid w:val="005F6ED6"/>
    <w:rPr>
      <w:rFonts w:ascii="Garamond" w:hAnsi="Garamond"/>
      <w:sz w:val="20"/>
      <w:lang w:val="en-GB" w:eastAsia="en-GB" w:bidi="en-GB"/>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en-GB" w:eastAsia="en-GB" w:bidi="en-GB"/>
    </w:rPr>
  </w:style>
  <w:style w:type="paragraph" w:styleId="Napis">
    <w:name w:val="caption"/>
    <w:basedOn w:val="RStekst"/>
    <w:next w:val="RStekst"/>
    <w:link w:val="NapisZnak"/>
    <w:qForma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GB"/>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GB"/>
    </w:rPr>
  </w:style>
  <w:style w:type="character" w:customStyle="1" w:styleId="NapisZnak">
    <w:name w:val="Napis Znak"/>
    <w:link w:val="Napis"/>
    <w:rsid w:val="00996DD6"/>
    <w:rPr>
      <w:rFonts w:ascii="Garamond" w:hAnsi="Garamond"/>
      <w:sz w:val="22"/>
      <w:lang w:eastAsia="en-GB"/>
    </w:rPr>
  </w:style>
  <w:style w:type="paragraph" w:styleId="Revizija">
    <w:name w:val="Revision"/>
    <w:hidden/>
    <w:uiPriority w:val="99"/>
    <w:semiHidden/>
    <w:rsid w:val="004E73DC"/>
    <w:rPr>
      <w:rFonts w:ascii="Garamond" w:hAnsi="Garamond"/>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toc 4" w:uiPriority="39"/>
    <w:lsdException w:name="footnote text" w:qFormat="1"/>
    <w:lsdException w:name="caption"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uiPriority w:val="99"/>
    <w:semiHidden/>
    <w:unhideWhenUsed/>
  </w:style>
  <w:style w:type="character" w:styleId="Pripombasklic">
    <w:name w:val="annotation reference"/>
    <w:uiPriority w:val="99"/>
    <w:semiHidden/>
    <w:unhideWhenUsed/>
    <w:rPr>
      <w:sz w:val="16"/>
      <w:szCs w:val="16"/>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en-GB" w:eastAsia="en-GB" w:bidi="en-GB"/>
    </w:rPr>
  </w:style>
  <w:style w:type="character" w:styleId="tevilkastrani">
    <w:name w:val="page number"/>
    <w:rsid w:val="005F6ED6"/>
    <w:rPr>
      <w:rFonts w:ascii="Garamond" w:hAnsi="Garamond"/>
      <w:sz w:val="20"/>
      <w:lang w:val="en-GB" w:eastAsia="en-GB" w:bidi="en-GB"/>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en-GB" w:eastAsia="en-GB" w:bidi="en-GB"/>
    </w:rPr>
  </w:style>
  <w:style w:type="paragraph" w:styleId="Napis">
    <w:name w:val="caption"/>
    <w:basedOn w:val="RStekst"/>
    <w:next w:val="RStekst"/>
    <w:link w:val="NapisZnak"/>
    <w:qForma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GB"/>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GB"/>
    </w:rPr>
  </w:style>
  <w:style w:type="character" w:customStyle="1" w:styleId="NapisZnak">
    <w:name w:val="Napis Znak"/>
    <w:link w:val="Napis"/>
    <w:rsid w:val="00996DD6"/>
    <w:rPr>
      <w:rFonts w:ascii="Garamond" w:hAnsi="Garamond"/>
      <w:sz w:val="22"/>
      <w:lang w:eastAsia="en-GB"/>
    </w:rPr>
  </w:style>
  <w:style w:type="paragraph" w:styleId="Revizija">
    <w:name w:val="Revision"/>
    <w:hidden/>
    <w:uiPriority w:val="99"/>
    <w:semiHidden/>
    <w:rsid w:val="004E73DC"/>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203EE31-FC87-4598-851B-94AF30590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D3FAD4E-8B2E-40D3-AC06-6E29E995B42C}">
  <ds:schemaRefs>
    <ds:schemaRef ds:uri="http://schemas.microsoft.com/sharepoint/v3/contenttype/forms"/>
  </ds:schemaRefs>
</ds:datastoreItem>
</file>

<file path=customXml/itemProps3.xml><?xml version="1.0" encoding="utf-8"?>
<ds:datastoreItem xmlns:ds="http://schemas.openxmlformats.org/officeDocument/2006/customXml" ds:itemID="{956D0E9D-B364-4192-A4FE-7AEAAB0D43C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3391</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Zevnik</dc:creator>
  <cp:lastModifiedBy>Miroslav Kranjc</cp:lastModifiedBy>
  <cp:revision>3</cp:revision>
  <dcterms:created xsi:type="dcterms:W3CDTF">2016-06-06T12:57:00Z</dcterms:created>
  <dcterms:modified xsi:type="dcterms:W3CDTF">2016-06-07T08:13:00Z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