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501AB" w14:textId="77777777" w:rsidR="00F7775E" w:rsidRDefault="00F7775E" w:rsidP="00F7775E">
      <w:pPr>
        <w:pStyle w:val="RStekst"/>
        <w:rPr>
          <w:b/>
        </w:rPr>
      </w:pPr>
      <w:bookmarkStart w:id="0" w:name="_GoBack"/>
      <w:bookmarkEnd w:id="0"/>
    </w:p>
    <w:p w14:paraId="465F7F51" w14:textId="77777777" w:rsidR="00F7775E" w:rsidRPr="00F7775E" w:rsidRDefault="007709C5" w:rsidP="00F7775E">
      <w:pPr>
        <w:pStyle w:val="RStekst"/>
        <w:rPr>
          <w:b/>
          <w:i/>
        </w:rPr>
      </w:pPr>
      <w:r w:rsidRPr="007709C5">
        <w:rPr>
          <w:b/>
        </w:rPr>
        <w:t xml:space="preserve">Povzetek revizijskega poročila </w:t>
      </w:r>
      <w:r w:rsidR="00F7775E" w:rsidRPr="00F7775E">
        <w:rPr>
          <w:b/>
          <w:i/>
        </w:rPr>
        <w:t>Pravilnost nabave medicinske opreme in zdravstvenega materiala ter učinkovitost pridobivanja in upravljanja z medicinsko opremo v Univerzitetnem kliničnem centru Ljubljana</w:t>
      </w:r>
    </w:p>
    <w:p w14:paraId="4BA1D0CF" w14:textId="77777777" w:rsidR="00CD2C94" w:rsidRDefault="00CD2C94" w:rsidP="00A659FF">
      <w:pPr>
        <w:pStyle w:val="RStekst"/>
      </w:pPr>
    </w:p>
    <w:p w14:paraId="2F2DD949" w14:textId="77777777" w:rsidR="00F7775E" w:rsidRDefault="00F7775E" w:rsidP="00A659FF">
      <w:pPr>
        <w:pStyle w:val="RStekst"/>
      </w:pPr>
    </w:p>
    <w:p w14:paraId="435567D5" w14:textId="77777777" w:rsidR="00F7775E" w:rsidRPr="00EF53ED" w:rsidRDefault="00F7775E" w:rsidP="00F7775E">
      <w:pPr>
        <w:pStyle w:val="RStekst"/>
      </w:pPr>
      <w:r w:rsidRPr="00EF53ED">
        <w:t xml:space="preserve">Računsko sodišče je izvedlo revizijo pravilnosti in učinkovitosti poslovanja </w:t>
      </w:r>
      <w:r w:rsidRPr="00F44D58">
        <w:rPr>
          <w:i/>
        </w:rPr>
        <w:t>Univerzitetnega kliničnega centra Ljubljana</w:t>
      </w:r>
      <w:r w:rsidRPr="00EF53ED">
        <w:t xml:space="preserve"> (v nadaljevanju: UKC Ljubljana).</w:t>
      </w:r>
    </w:p>
    <w:p w14:paraId="3E7D2B6C" w14:textId="77777777" w:rsidR="00F7775E" w:rsidRPr="00EF53ED" w:rsidRDefault="00F7775E" w:rsidP="00F7775E">
      <w:pPr>
        <w:pStyle w:val="RStekst"/>
      </w:pPr>
    </w:p>
    <w:p w14:paraId="62F7AE4A" w14:textId="77777777" w:rsidR="00F7775E" w:rsidRPr="00EF53ED" w:rsidRDefault="00F7775E" w:rsidP="00F7775E">
      <w:pPr>
        <w:pStyle w:val="RStekst"/>
      </w:pPr>
      <w:r w:rsidRPr="00EF53ED">
        <w:rPr>
          <w:i/>
        </w:rPr>
        <w:t>Cilja revizije</w:t>
      </w:r>
      <w:r w:rsidRPr="00EF53ED">
        <w:t xml:space="preserve"> sta bila izrek mnenja o pravilnosti dela poslovanja, ki se nanaša na nabavo medicinske opreme in zdravstvenega materiala (brez zdravil), ter izrek mnenja o učinkovitosti UKC Ljubljana pri pridobivanju in upravljanju z medicinsko opremo v letih 2014 in 2015.</w:t>
      </w:r>
    </w:p>
    <w:p w14:paraId="52E647D7" w14:textId="77777777" w:rsidR="00F7775E" w:rsidRPr="00EF53ED" w:rsidRDefault="00F7775E" w:rsidP="00F7775E">
      <w:pPr>
        <w:pStyle w:val="RStekst"/>
      </w:pPr>
    </w:p>
    <w:p w14:paraId="675EDFB7" w14:textId="23462B0F" w:rsidR="00F7775E" w:rsidRPr="00EF53ED" w:rsidRDefault="00F7775E" w:rsidP="00F7775E">
      <w:pPr>
        <w:pStyle w:val="RStekst"/>
        <w:rPr>
          <w:i/>
        </w:rPr>
      </w:pPr>
      <w:r w:rsidRPr="00EF53ED">
        <w:t xml:space="preserve">Računsko sodišče je o pravilnosti poslovanja UKC Ljubljana izreklo </w:t>
      </w:r>
      <w:r w:rsidRPr="00EF53ED">
        <w:rPr>
          <w:i/>
        </w:rPr>
        <w:t>negativno mnenje</w:t>
      </w:r>
      <w:r w:rsidRPr="00EF53ED">
        <w:t xml:space="preserve">, ker je ugotovilo pomembne kršitve Zakona o javnem naročanju. Pri naročanju zdravstvenega materiala in medicinske opreme UKC Ljubljana dobaviteljev zdravstvenega materiala v vrednosti 69.443.786 evrov ter dobaviteljev medicinske opreme v vrednosti 121.915 evrov ni izbral na podlagi predhodno izvedenih postopkov javnega naročanja. V štirih postopkih oddaje javnih naročil v skupni vrednosti 318.497 evrov so bile ugotovljene kršitve Zakona o javnem naročanju, ker UKC Ljubljana v dveh postopkih ni izločil nepopolnih ponudb, v enem postopku pa je izločil popolno ponudbo, poleg tega v enem postopku ni izkazal, da strokovne zahteve izpolnjuje le ponudba dobavitelja, ki je bil povabljen k pogajanjem. Pri izvajanju postopkov oddaje javnih naročil so bile ugotovljene še kršitve internih aktov glede priprave in sprejetja terminskih aktov, poročanja o razlogih za odmike od terminskih načrtov, poročanja o razlogih za prejem ene ponudbe ter pogojev za izvedbo postopka javnega naročanja. Računov za opravljene dobave zdravstvenega materiala ter medicinske opreme UKC Ljubljana ni plačeval v predpisanem roku. Pomanjkljivosti notranjih kontrol pa so se pokazale pri plačevanju računov za nabavo zdravstvenega materiala po cenah, ki niso imele podlage v sklenjenih pogodbah, zato je UKC Ljubljana dobaviteljem preplačal dobave za najmanj 10.598 evrov. </w:t>
      </w:r>
    </w:p>
    <w:p w14:paraId="3DB95CCD" w14:textId="77777777" w:rsidR="00F7775E" w:rsidRPr="00EF53ED" w:rsidRDefault="00F7775E" w:rsidP="00F7775E">
      <w:pPr>
        <w:pStyle w:val="RStekst"/>
      </w:pPr>
    </w:p>
    <w:p w14:paraId="0B29FED7" w14:textId="77777777" w:rsidR="00F7775E" w:rsidRPr="00EF53ED" w:rsidRDefault="00F7775E" w:rsidP="00F7775E">
      <w:pPr>
        <w:pStyle w:val="RStekst"/>
        <w:tabs>
          <w:tab w:val="left" w:pos="7230"/>
        </w:tabs>
      </w:pPr>
      <w:r w:rsidRPr="00EF53ED">
        <w:t xml:space="preserve">Računsko sodišče meni, da je bil UKC Ljubljana v letih 2014 in 2015 pri pridobivanju in upravljanju z medicinsko opremo </w:t>
      </w:r>
      <w:r w:rsidRPr="00EF53ED">
        <w:rPr>
          <w:i/>
        </w:rPr>
        <w:t>neučinkovit</w:t>
      </w:r>
      <w:r w:rsidRPr="00EF53ED">
        <w:t xml:space="preserve">. Pri načrtovanju nabav medicinske opreme ni ugotavljal potreb za daljše obdobje in ni pripravil strategije in večletnih operativnih </w:t>
      </w:r>
      <w:r>
        <w:t>načrtov</w:t>
      </w:r>
      <w:r w:rsidRPr="00EF53ED">
        <w:t>. Kriteriji</w:t>
      </w:r>
      <w:r>
        <w:t xml:space="preserve"> in pogoji</w:t>
      </w:r>
      <w:r w:rsidRPr="00EF53ED">
        <w:t xml:space="preserve">, upoštevani za uvrstitev posamezne opreme v letni načrt nabav na ravni zavoda, niso bili izkazani. UKC Ljubljana ni imel izdelanih tehničnih zahtev medicinske opreme, ki bi bila primerna za uporabo. Komisija za standarde, ki naj bi določala, pregledovala in obnavljala minimalne standarde, merila in kriterije za posamezno vsebinsko področje nabav, ki jih morajo izpolnjevati blago, storitve ali gradnje za potrebe UKC Ljubljana, v nasprotju z določbami </w:t>
      </w:r>
      <w:r>
        <w:t>internih</w:t>
      </w:r>
      <w:r w:rsidRPr="00EF53ED">
        <w:t xml:space="preserve"> aktov ni delovala. Tudi za </w:t>
      </w:r>
      <w:proofErr w:type="spellStart"/>
      <w:r w:rsidRPr="00EF53ED">
        <w:t>donirano</w:t>
      </w:r>
      <w:proofErr w:type="spellEnd"/>
      <w:r w:rsidRPr="00EF53ED">
        <w:t xml:space="preserve"> in tujo medicinsko opremo, prevzeto v uporabo, UKC Ljubljana ni imel izdelanih enotnih usmeritev o tem, kdo in na kakšen način določa strokovne standarde, ki jih mora medicinska oprema ob izbiri in sprejemu v uporabo UKC Ljubljana izpolnjevati. Prav tako ni imel vzpostavljenega ustreznega sistema za spremljanje iztrošenosti medicinske opreme kot podlago za učinkovito načrtovanje novih nabav. Pred pričetkom postopkov javnega naročanja medicinske opreme je UKC Ljubljana izvedel analizo trga, k čemur ga je zavezoval tudi interni akt. Nabavljena je bila le oprema, ki je bila predhodno predvidena v potrjenem načrtu nabav in so bila zanjo zagotovljena sredstva, v nobenem od internih aktov pa ni bil določen način oziroma proces pridobivanja </w:t>
      </w:r>
      <w:proofErr w:type="spellStart"/>
      <w:r w:rsidRPr="00EF53ED">
        <w:t>donirane</w:t>
      </w:r>
      <w:proofErr w:type="spellEnd"/>
      <w:r w:rsidRPr="00EF53ED">
        <w:t xml:space="preserve"> in tuje medicinske opreme. Pri več kot tretjini naročil medicinske opreme je bila pogodba </w:t>
      </w:r>
      <w:r w:rsidRPr="00EF53ED">
        <w:lastRenderedPageBreak/>
        <w:t xml:space="preserve">sklenjena več kot šest mesecev kasneje, kot je predvideval terminski </w:t>
      </w:r>
      <w:r>
        <w:t>načrt</w:t>
      </w:r>
      <w:r w:rsidRPr="00EF53ED">
        <w:t xml:space="preserve">, predvsem zaradi zamud v fazi oblikovanja kriterijev, analize prejetih ponudb ter naknadnih sprememb odločitev. Kadar je na trgu obstajal le en ponudnik medicinske opreme, UKC Ljubljana ni ponovno proučil strokovnih kriterijev ter ustreznosti uporabljene vrste postopkov javnega naročanja, s čimer bi lahko pospešil izvedbo javnih naročil. Pred prevzemom </w:t>
      </w:r>
      <w:proofErr w:type="spellStart"/>
      <w:r w:rsidRPr="00EF53ED">
        <w:t>donirane</w:t>
      </w:r>
      <w:proofErr w:type="spellEnd"/>
      <w:r w:rsidRPr="00EF53ED">
        <w:t xml:space="preserve"> in tuje </w:t>
      </w:r>
      <w:r>
        <w:t xml:space="preserve">medicinske </w:t>
      </w:r>
      <w:r w:rsidRPr="00EF53ED">
        <w:t xml:space="preserve">opreme v uporabo ni ugotavljal, ali opremo dejansko potrebuje, ni ugotavljal, s kakšnim namenom (motivom) so mu lastniki želeli opremo predati v uporabo, ter ni analiziral ali izkazal stroškovne upravičenosti prevzema </w:t>
      </w:r>
      <w:proofErr w:type="spellStart"/>
      <w:r w:rsidRPr="00EF53ED">
        <w:t>donirane</w:t>
      </w:r>
      <w:proofErr w:type="spellEnd"/>
      <w:r w:rsidRPr="00EF53ED">
        <w:t xml:space="preserve"> ali tuje </w:t>
      </w:r>
      <w:r>
        <w:t xml:space="preserve">medicinske </w:t>
      </w:r>
      <w:r w:rsidRPr="00EF53ED">
        <w:t xml:space="preserve">opreme v uporabo. Način sprejemanja, označevanja ter evidentiranja </w:t>
      </w:r>
      <w:proofErr w:type="spellStart"/>
      <w:r w:rsidRPr="00EF53ED">
        <w:t>donirane</w:t>
      </w:r>
      <w:proofErr w:type="spellEnd"/>
      <w:r w:rsidRPr="00EF53ED">
        <w:t xml:space="preserve"> in tuje </w:t>
      </w:r>
      <w:r>
        <w:t xml:space="preserve">medicinske </w:t>
      </w:r>
      <w:r w:rsidRPr="00EF53ED">
        <w:t xml:space="preserve">opreme v uporabi ni bil ustrezen. UKC Ljubljana ni vsak trenutek in na enem mestu zagotavljal podatka o številu in vrsti medicinske opreme, s katero je razpolagal, zato ni obvladoval celotnih stroškov poslovanja, ki jih je uporaba opreme povzročala, pomanjkljivo evidentiranje pa je vplivalo tudi na ustreznost načrtovanja potrebne medicinske opreme. Ker ni razpolagal </w:t>
      </w:r>
      <w:r>
        <w:t>s</w:t>
      </w:r>
      <w:r w:rsidRPr="00EF53ED">
        <w:t xml:space="preserve"> podatkom o tem, katera tuja medicinska oprema je bila sprejeta v uporabo, tudi izvedba popisa tuje opreme ni omogočala izpolnitve namena popisa </w:t>
      </w:r>
      <w:r>
        <w:t>medicinske opreme</w:t>
      </w:r>
      <w:r w:rsidRPr="00EF53ED">
        <w:t>. Prav tako s sestavo komisij za popis tuje opreme UKC Ljubljana ni zagotavljal objektivnega popisa tuje medicinske opreme. UKC Ljubljana tudi ni vedno zagotavljal, da je bila izločena le medicinska oprema, ki ni bila več uporabna. Učinkovitost izrabe medicinske opreme je spremljal le za nekaj vrst aparatur, posebne evidence o iztrošenosti posameznega kosa medicinske opreme ni vodil, prav tako ni vodil podatkov o skupnih stroških vzdrževanja po posamezni aparaturi niti evidence medicinske opreme, s</w:t>
      </w:r>
      <w:r>
        <w:t> </w:t>
      </w:r>
      <w:r w:rsidRPr="00EF53ED">
        <w:t xml:space="preserve">katero bi spremljal celotne stroške, povezane z njeno uporabo, torej stroške materiala, vzdrževanja ter rezervnih delov. </w:t>
      </w:r>
    </w:p>
    <w:p w14:paraId="652233D4" w14:textId="77777777" w:rsidR="00F7775E" w:rsidRPr="00EF53ED" w:rsidRDefault="00F7775E" w:rsidP="00F7775E">
      <w:pPr>
        <w:pStyle w:val="RStekst"/>
      </w:pPr>
    </w:p>
    <w:p w14:paraId="3A6FAAC9" w14:textId="6C2B2EEB" w:rsidR="00A659FF" w:rsidRPr="00A659FF" w:rsidRDefault="00F7775E" w:rsidP="00F7775E">
      <w:pPr>
        <w:pStyle w:val="RStekst"/>
      </w:pPr>
      <w:r w:rsidRPr="00EF53ED">
        <w:t xml:space="preserve">Računsko sodišče je od UKC Ljubljana zahtevalo </w:t>
      </w:r>
      <w:r w:rsidRPr="00EF53ED">
        <w:rPr>
          <w:i/>
        </w:rPr>
        <w:t>predložitev odzivnega poročila</w:t>
      </w:r>
      <w:r w:rsidRPr="00EF53ED">
        <w:t xml:space="preserve">, v katerem mora izkazati popravljalne ukrepe za odpravo ugotovljenih nepravilnosti in nesmotrnosti, ter mu podalo več </w:t>
      </w:r>
      <w:r w:rsidRPr="00F44D58">
        <w:rPr>
          <w:i/>
        </w:rPr>
        <w:t>priporočil</w:t>
      </w:r>
      <w:r w:rsidRPr="00EF53ED">
        <w:t xml:space="preserve"> za izboljšanje poslovanja na področju nabave zdravstvenega materiala ter pridobivanja in upravljanja z medicinsko opremo.</w:t>
      </w:r>
    </w:p>
    <w:p w14:paraId="68F7AC3F" w14:textId="77777777" w:rsidR="00A659FF" w:rsidRDefault="00A659FF" w:rsidP="00A659FF">
      <w:pPr>
        <w:pStyle w:val="RStekst"/>
      </w:pPr>
    </w:p>
    <w:p w14:paraId="0CF58909" w14:textId="77777777" w:rsidR="00F7775E" w:rsidRDefault="00F7775E" w:rsidP="00A659FF">
      <w:pPr>
        <w:pStyle w:val="RStekst"/>
      </w:pPr>
    </w:p>
    <w:p w14:paraId="6165B5D1" w14:textId="0A3EB8DA" w:rsidR="00B93D40" w:rsidRDefault="00B93D40" w:rsidP="00B93D40">
      <w:pPr>
        <w:pStyle w:val="RStekst"/>
      </w:pPr>
      <w:r>
        <w:t xml:space="preserve">Ljubljana, </w:t>
      </w:r>
      <w:r w:rsidR="00F7775E">
        <w:t>30</w:t>
      </w:r>
      <w:r w:rsidR="00406519">
        <w:t>.</w:t>
      </w:r>
      <w:r>
        <w:t xml:space="preserve"> </w:t>
      </w:r>
      <w:r w:rsidR="00A659FF">
        <w:t>januarja</w:t>
      </w:r>
      <w:r>
        <w:t xml:space="preserve"> 201</w:t>
      </w:r>
      <w:r w:rsidR="00A659FF">
        <w:t>8</w:t>
      </w:r>
    </w:p>
    <w:sectPr w:rsidR="00B93D40" w:rsidSect="006A2B11">
      <w:footerReference w:type="default" r:id="rId11"/>
      <w:headerReference w:type="first" r:id="rId12"/>
      <w:footerReference w:type="first" r:id="rId13"/>
      <w:pgSz w:w="11907" w:h="16840" w:code="9"/>
      <w:pgMar w:top="1985" w:right="1418" w:bottom="1418" w:left="1418" w:header="709"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611AC" w14:textId="77777777" w:rsidR="007709C5" w:rsidRDefault="007709C5">
      <w:r>
        <w:separator/>
      </w:r>
    </w:p>
  </w:endnote>
  <w:endnote w:type="continuationSeparator" w:id="0">
    <w:p w14:paraId="13F6A2EB" w14:textId="77777777" w:rsidR="007709C5" w:rsidRDefault="0077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9F75D" w14:textId="77777777" w:rsidR="002C5DCD" w:rsidRDefault="002C5DCD">
    <w:pPr>
      <w:jc w:val="center"/>
    </w:pPr>
    <w:r>
      <w:fldChar w:fldCharType="begin"/>
    </w:r>
    <w:r>
      <w:instrText xml:space="preserve"> PAGE </w:instrText>
    </w:r>
    <w:r>
      <w:fldChar w:fldCharType="separate"/>
    </w:r>
    <w:r w:rsidR="00D274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23C0D" w14:textId="77777777" w:rsidR="002C5DCD" w:rsidRDefault="008965C3">
    <w:r>
      <w:rPr>
        <w:noProof/>
        <w:lang w:eastAsia="sl-SI"/>
      </w:rPr>
      <w:drawing>
        <wp:anchor distT="0" distB="0" distL="114300" distR="114300" simplePos="0" relativeHeight="251663360" behindDoc="0" locked="1" layoutInCell="1" allowOverlap="1" wp14:anchorId="234977C0" wp14:editId="5483D4AB">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2CB56" w14:textId="77777777" w:rsidR="007709C5" w:rsidRDefault="007709C5">
      <w:r>
        <w:separator/>
      </w:r>
    </w:p>
  </w:footnote>
  <w:footnote w:type="continuationSeparator" w:id="0">
    <w:p w14:paraId="55852DD5" w14:textId="77777777" w:rsidR="007709C5" w:rsidRDefault="00770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7F9D9" w14:textId="5D0C013C" w:rsidR="002C5DCD" w:rsidRDefault="006A2B11">
    <w:r>
      <w:rPr>
        <w:noProof/>
        <w:lang w:eastAsia="sl-SI"/>
      </w:rPr>
      <w:drawing>
        <wp:anchor distT="0" distB="0" distL="114300" distR="114300" simplePos="0" relativeHeight="251665408" behindDoc="0" locked="1" layoutInCell="1" allowOverlap="1" wp14:anchorId="30984AF7" wp14:editId="184B4A32">
          <wp:simplePos x="0" y="0"/>
          <wp:positionH relativeFrom="page">
            <wp:posOffset>900430</wp:posOffset>
          </wp:positionH>
          <wp:positionV relativeFrom="page">
            <wp:posOffset>612140</wp:posOffset>
          </wp:positionV>
          <wp:extent cx="1897200" cy="324000"/>
          <wp:effectExtent l="0" t="0" r="8255" b="0"/>
          <wp:wrapTopAndBottom/>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C5"/>
    <w:rsid w:val="0006644E"/>
    <w:rsid w:val="0008491A"/>
    <w:rsid w:val="000C788A"/>
    <w:rsid w:val="00194E66"/>
    <w:rsid w:val="001E3435"/>
    <w:rsid w:val="001E7547"/>
    <w:rsid w:val="00203107"/>
    <w:rsid w:val="002C33EB"/>
    <w:rsid w:val="002C5DCD"/>
    <w:rsid w:val="002D37F3"/>
    <w:rsid w:val="002F2498"/>
    <w:rsid w:val="003535E4"/>
    <w:rsid w:val="00406519"/>
    <w:rsid w:val="00414AA1"/>
    <w:rsid w:val="00474125"/>
    <w:rsid w:val="00490BEF"/>
    <w:rsid w:val="004B0399"/>
    <w:rsid w:val="004D0D04"/>
    <w:rsid w:val="005849DE"/>
    <w:rsid w:val="00590644"/>
    <w:rsid w:val="005C34F4"/>
    <w:rsid w:val="005F6ED6"/>
    <w:rsid w:val="006449A5"/>
    <w:rsid w:val="00647D7F"/>
    <w:rsid w:val="006A2AFA"/>
    <w:rsid w:val="006A2B11"/>
    <w:rsid w:val="00742630"/>
    <w:rsid w:val="007709C5"/>
    <w:rsid w:val="007B6089"/>
    <w:rsid w:val="00824513"/>
    <w:rsid w:val="008965C3"/>
    <w:rsid w:val="008A4178"/>
    <w:rsid w:val="00912111"/>
    <w:rsid w:val="00A659FF"/>
    <w:rsid w:val="00AA218A"/>
    <w:rsid w:val="00AB03E9"/>
    <w:rsid w:val="00AC54E0"/>
    <w:rsid w:val="00B008F8"/>
    <w:rsid w:val="00B84056"/>
    <w:rsid w:val="00B92131"/>
    <w:rsid w:val="00B93D40"/>
    <w:rsid w:val="00BA74F7"/>
    <w:rsid w:val="00C07C0D"/>
    <w:rsid w:val="00C31D5B"/>
    <w:rsid w:val="00C57CE6"/>
    <w:rsid w:val="00C74005"/>
    <w:rsid w:val="00CC6E75"/>
    <w:rsid w:val="00CD2C94"/>
    <w:rsid w:val="00CF7C19"/>
    <w:rsid w:val="00D2498A"/>
    <w:rsid w:val="00D274C2"/>
    <w:rsid w:val="00D47861"/>
    <w:rsid w:val="00D7347F"/>
    <w:rsid w:val="00DA44DA"/>
    <w:rsid w:val="00DD21C5"/>
    <w:rsid w:val="00DE11C0"/>
    <w:rsid w:val="00E00CC1"/>
    <w:rsid w:val="00E779EB"/>
    <w:rsid w:val="00EC6B95"/>
    <w:rsid w:val="00EF3E6E"/>
    <w:rsid w:val="00F248CB"/>
    <w:rsid w:val="00F47C76"/>
    <w:rsid w:val="00F558BC"/>
    <w:rsid w:val="00F6254E"/>
    <w:rsid w:val="00F76A33"/>
    <w:rsid w:val="00F7775E"/>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BAA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toc 3" w:uiPriority="39"/>
    <w:lsdException w:name="footnote text" w:qFormat="1"/>
    <w:lsdException w:name="caption"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490BEF"/>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uiPriority w:val="39"/>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link w:val="GlavaZnak"/>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qForma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GlavaZnak">
    <w:name w:val="Glava Znak"/>
    <w:basedOn w:val="Privzetapisavaodstavka"/>
    <w:link w:val="Glava"/>
    <w:semiHidden/>
    <w:rsid w:val="00194E66"/>
    <w:rPr>
      <w:rFonts w:ascii="Garamond" w:hAnsi="Garamond"/>
      <w:sz w:val="22"/>
      <w:lang w:eastAsia="en-US"/>
    </w:rPr>
  </w:style>
  <w:style w:type="character" w:customStyle="1" w:styleId="RSnatevanjeZnak">
    <w:name w:val="RS naštevanje Znak"/>
    <w:link w:val="RSnatevanje"/>
    <w:locked/>
    <w:rsid w:val="00194E66"/>
    <w:rPr>
      <w:rFonts w:ascii="Garamond" w:hAnsi="Garamond"/>
      <w:bCs/>
      <w:sz w:val="22"/>
      <w:lang w:eastAsia="en-US"/>
    </w:rPr>
  </w:style>
  <w:style w:type="paragraph" w:styleId="HTML-oblikovano">
    <w:name w:val="HTML Preformatted"/>
    <w:basedOn w:val="Navaden"/>
    <w:link w:val="HTML-oblikovanoZnak"/>
    <w:rsid w:val="00CC6E75"/>
    <w:pPr>
      <w:spacing w:before="0" w:after="0" w:line="240" w:lineRule="auto"/>
    </w:pPr>
    <w:rPr>
      <w:rFonts w:ascii="Consolas" w:hAnsi="Consolas"/>
      <w:sz w:val="20"/>
    </w:rPr>
  </w:style>
  <w:style w:type="character" w:customStyle="1" w:styleId="HTML-oblikovanoZnak">
    <w:name w:val="HTML-oblikovano Znak"/>
    <w:basedOn w:val="Privzetapisavaodstavka"/>
    <w:link w:val="HTML-oblikovano"/>
    <w:rsid w:val="00CC6E75"/>
    <w:rPr>
      <w:rFonts w:ascii="Consolas" w:hAnsi="Consola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toc 3" w:uiPriority="39"/>
    <w:lsdException w:name="footnote text" w:qFormat="1"/>
    <w:lsdException w:name="caption"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490BEF"/>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uiPriority w:val="39"/>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link w:val="GlavaZnak"/>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qForma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GlavaZnak">
    <w:name w:val="Glava Znak"/>
    <w:basedOn w:val="Privzetapisavaodstavka"/>
    <w:link w:val="Glava"/>
    <w:semiHidden/>
    <w:rsid w:val="00194E66"/>
    <w:rPr>
      <w:rFonts w:ascii="Garamond" w:hAnsi="Garamond"/>
      <w:sz w:val="22"/>
      <w:lang w:eastAsia="en-US"/>
    </w:rPr>
  </w:style>
  <w:style w:type="character" w:customStyle="1" w:styleId="RSnatevanjeZnak">
    <w:name w:val="RS naštevanje Znak"/>
    <w:link w:val="RSnatevanje"/>
    <w:locked/>
    <w:rsid w:val="00194E66"/>
    <w:rPr>
      <w:rFonts w:ascii="Garamond" w:hAnsi="Garamond"/>
      <w:bCs/>
      <w:sz w:val="22"/>
      <w:lang w:eastAsia="en-US"/>
    </w:rPr>
  </w:style>
  <w:style w:type="paragraph" w:styleId="HTML-oblikovano">
    <w:name w:val="HTML Preformatted"/>
    <w:basedOn w:val="Navaden"/>
    <w:link w:val="HTML-oblikovanoZnak"/>
    <w:rsid w:val="00CC6E75"/>
    <w:pPr>
      <w:spacing w:before="0" w:after="0" w:line="240" w:lineRule="auto"/>
    </w:pPr>
    <w:rPr>
      <w:rFonts w:ascii="Consolas" w:hAnsi="Consolas"/>
      <w:sz w:val="20"/>
    </w:rPr>
  </w:style>
  <w:style w:type="character" w:customStyle="1" w:styleId="HTML-oblikovanoZnak">
    <w:name w:val="HTML-oblikovano Znak"/>
    <w:basedOn w:val="Privzetapisavaodstavka"/>
    <w:link w:val="HTML-oblikovano"/>
    <w:rsid w:val="00CC6E75"/>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79221">
      <w:bodyDiv w:val="1"/>
      <w:marLeft w:val="0"/>
      <w:marRight w:val="0"/>
      <w:marTop w:val="0"/>
      <w:marBottom w:val="0"/>
      <w:divBdr>
        <w:top w:val="none" w:sz="0" w:space="0" w:color="auto"/>
        <w:left w:val="none" w:sz="0" w:space="0" w:color="auto"/>
        <w:bottom w:val="none" w:sz="0" w:space="0" w:color="auto"/>
        <w:right w:val="none" w:sz="0" w:space="0" w:color="auto"/>
      </w:divBdr>
    </w:div>
    <w:div w:id="21060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3577E36-978B-4BBD-8CCE-2B188444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C10CA1A-8E8A-4BAD-8DB6-F3C00EE18A90}">
  <ds:schemaRefs>
    <ds:schemaRef ds:uri="http://schemas.microsoft.com/sharepoint/v3/contenttype/forms"/>
  </ds:schemaRefs>
</ds:datastoreItem>
</file>

<file path=customXml/itemProps3.xml><?xml version="1.0" encoding="utf-8"?>
<ds:datastoreItem xmlns:ds="http://schemas.openxmlformats.org/officeDocument/2006/customXml" ds:itemID="{D49F8BAB-FA7F-48F7-8B4E-D7E097BE8830}">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5176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2018-01-29T12:31:00Z</dcterms:created>
  <dcterms:modified xsi:type="dcterms:W3CDTF">2018-01-29T12:35:00Z</dcterms:modified>
</cp:coreProperties>
</file>