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E2" w:rsidRDefault="007715E2" w:rsidP="005C0331">
      <w:pPr>
        <w:pStyle w:val="RStekst"/>
        <w:spacing w:line="360" w:lineRule="auto"/>
        <w:rPr>
          <w:b/>
          <w:i/>
          <w:lang w:val="en-GB"/>
        </w:rPr>
      </w:pPr>
    </w:p>
    <w:p w:rsidR="007715E2" w:rsidRDefault="007715E2" w:rsidP="005C0331">
      <w:pPr>
        <w:pStyle w:val="RStekst"/>
        <w:spacing w:line="360" w:lineRule="auto"/>
        <w:rPr>
          <w:b/>
          <w:i/>
          <w:lang w:val="en-GB"/>
        </w:rPr>
      </w:pPr>
    </w:p>
    <w:p w:rsidR="007715E2" w:rsidRDefault="007715E2" w:rsidP="005C0331">
      <w:pPr>
        <w:pStyle w:val="RStekst"/>
        <w:spacing w:line="360" w:lineRule="auto"/>
        <w:rPr>
          <w:b/>
          <w:i/>
          <w:lang w:val="en-GB"/>
        </w:rPr>
      </w:pPr>
    </w:p>
    <w:p w:rsidR="007715E2" w:rsidRPr="00C67DDD" w:rsidRDefault="00C67DDD" w:rsidP="005C0331">
      <w:pPr>
        <w:pStyle w:val="RStekst"/>
        <w:spacing w:line="360" w:lineRule="auto"/>
        <w:rPr>
          <w:lang w:val="en-GB"/>
        </w:rPr>
      </w:pPr>
      <w:r>
        <w:rPr>
          <w:noProof/>
          <w:lang w:eastAsia="sl-SI"/>
        </w:rPr>
        <w:drawing>
          <wp:inline distT="0" distB="0" distL="0" distR="0" wp14:anchorId="2A524DCE">
            <wp:extent cx="1962785" cy="32893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149" w:rsidRDefault="000E1149" w:rsidP="005C0331">
      <w:pPr>
        <w:pStyle w:val="RStekst"/>
        <w:spacing w:line="360" w:lineRule="auto"/>
        <w:rPr>
          <w:b/>
          <w:i/>
          <w:lang w:val="en-GB"/>
        </w:rPr>
      </w:pPr>
    </w:p>
    <w:p w:rsidR="00C67DDD" w:rsidRPr="00C67DDD" w:rsidRDefault="00C67DDD" w:rsidP="005C0331">
      <w:pPr>
        <w:pStyle w:val="RStekst"/>
        <w:spacing w:line="360" w:lineRule="auto"/>
        <w:rPr>
          <w:b/>
          <w:lang w:val="en-GB"/>
        </w:rPr>
      </w:pPr>
    </w:p>
    <w:p w:rsidR="00D52C34" w:rsidRPr="004F2699" w:rsidRDefault="00C67DDD" w:rsidP="005C0331">
      <w:pPr>
        <w:pStyle w:val="RStekst"/>
        <w:spacing w:line="360" w:lineRule="auto"/>
        <w:rPr>
          <w:b/>
          <w:i/>
          <w:lang w:val="en-GB"/>
        </w:rPr>
      </w:pPr>
      <w:r w:rsidRPr="00C67DDD">
        <w:rPr>
          <w:b/>
          <w:lang w:val="en-GB"/>
        </w:rPr>
        <w:t>Summary of audit report</w:t>
      </w:r>
      <w:r>
        <w:rPr>
          <w:b/>
          <w:i/>
          <w:lang w:val="en-GB"/>
        </w:rPr>
        <w:t xml:space="preserve"> </w:t>
      </w:r>
      <w:r w:rsidR="006C6399" w:rsidRPr="004F2699">
        <w:rPr>
          <w:b/>
          <w:i/>
          <w:lang w:val="en-GB"/>
        </w:rPr>
        <w:t>TEŠ Power</w:t>
      </w:r>
      <w:r w:rsidR="00E463B1">
        <w:rPr>
          <w:b/>
          <w:i/>
          <w:lang w:val="en-GB"/>
        </w:rPr>
        <w:t>-</w:t>
      </w:r>
      <w:r w:rsidR="006C6399" w:rsidRPr="004F2699">
        <w:rPr>
          <w:b/>
          <w:i/>
          <w:lang w:val="en-GB"/>
        </w:rPr>
        <w:t xml:space="preserve">plant </w:t>
      </w:r>
      <w:r w:rsidR="00874A2A">
        <w:rPr>
          <w:b/>
          <w:i/>
          <w:lang w:val="en-GB"/>
        </w:rPr>
        <w:t>b</w:t>
      </w:r>
      <w:r w:rsidR="006C6399" w:rsidRPr="004F2699">
        <w:rPr>
          <w:b/>
          <w:i/>
          <w:lang w:val="en-GB"/>
        </w:rPr>
        <w:t xml:space="preserve">lock 6 investment </w:t>
      </w:r>
    </w:p>
    <w:p w:rsidR="006C6399" w:rsidRPr="00226D29" w:rsidRDefault="006C6399" w:rsidP="005C0331">
      <w:pPr>
        <w:pStyle w:val="RStekst"/>
        <w:spacing w:line="360" w:lineRule="auto"/>
        <w:rPr>
          <w:lang w:val="en-GB"/>
        </w:rPr>
      </w:pPr>
    </w:p>
    <w:p w:rsidR="00EA3491" w:rsidRPr="00226D29" w:rsidRDefault="00403C3E" w:rsidP="005C0331">
      <w:pPr>
        <w:pStyle w:val="RStekst"/>
        <w:spacing w:line="360" w:lineRule="auto"/>
        <w:rPr>
          <w:lang w:val="en-GB"/>
        </w:rPr>
      </w:pPr>
      <w:r w:rsidRPr="00403C3E">
        <w:rPr>
          <w:lang w:val="en-GB"/>
        </w:rPr>
        <w:t>Electr</w:t>
      </w:r>
      <w:r w:rsidR="005043DC">
        <w:rPr>
          <w:lang w:val="en-GB"/>
        </w:rPr>
        <w:t>ic</w:t>
      </w:r>
      <w:r w:rsidRPr="00403C3E">
        <w:rPr>
          <w:lang w:val="en-GB"/>
        </w:rPr>
        <w:t xml:space="preserve"> power supply inf</w:t>
      </w:r>
      <w:r>
        <w:rPr>
          <w:lang w:val="en-GB"/>
        </w:rPr>
        <w:t>ra</w:t>
      </w:r>
      <w:r w:rsidR="0091200A" w:rsidRPr="00226D29">
        <w:rPr>
          <w:lang w:val="en-GB"/>
        </w:rPr>
        <w:t xml:space="preserve">structure in Slovenia has been for the most part built in the 70's and 80's of the last century. </w:t>
      </w:r>
      <w:r w:rsidR="005043DC">
        <w:rPr>
          <w:lang w:val="en-GB"/>
        </w:rPr>
        <w:t>T</w:t>
      </w:r>
      <w:r w:rsidR="0091200A" w:rsidRPr="00226D29">
        <w:rPr>
          <w:lang w:val="en-GB"/>
        </w:rPr>
        <w:t>he po</w:t>
      </w:r>
      <w:r w:rsidRPr="00403C3E">
        <w:rPr>
          <w:lang w:val="en-GB"/>
        </w:rPr>
        <w:t>wer</w:t>
      </w:r>
      <w:r w:rsidR="00A664C2">
        <w:rPr>
          <w:lang w:val="en-GB"/>
        </w:rPr>
        <w:t>-</w:t>
      </w:r>
      <w:r w:rsidRPr="00403C3E">
        <w:rPr>
          <w:lang w:val="en-GB"/>
        </w:rPr>
        <w:t>plants and distribution net</w:t>
      </w:r>
      <w:r w:rsidR="0091200A" w:rsidRPr="00226D29">
        <w:rPr>
          <w:lang w:val="en-GB"/>
        </w:rPr>
        <w:t>w</w:t>
      </w:r>
      <w:r>
        <w:rPr>
          <w:lang w:val="en-GB"/>
        </w:rPr>
        <w:t>o</w:t>
      </w:r>
      <w:r w:rsidR="0091200A" w:rsidRPr="00226D29">
        <w:rPr>
          <w:lang w:val="en-GB"/>
        </w:rPr>
        <w:t>rks have been buil</w:t>
      </w:r>
      <w:r w:rsidR="005505A0" w:rsidRPr="00226D29">
        <w:rPr>
          <w:lang w:val="en-GB"/>
        </w:rPr>
        <w:t>t</w:t>
      </w:r>
      <w:r w:rsidR="0091200A" w:rsidRPr="00226D29">
        <w:rPr>
          <w:lang w:val="en-GB"/>
        </w:rPr>
        <w:t xml:space="preserve"> </w:t>
      </w:r>
      <w:r w:rsidR="00BC5BC5">
        <w:rPr>
          <w:lang w:val="en-GB"/>
        </w:rPr>
        <w:t>at</w:t>
      </w:r>
      <w:r w:rsidRPr="00403C3E">
        <w:rPr>
          <w:lang w:val="en-GB"/>
        </w:rPr>
        <w:t xml:space="preserve"> the level of techn</w:t>
      </w:r>
      <w:r>
        <w:rPr>
          <w:lang w:val="en-GB"/>
        </w:rPr>
        <w:t>o</w:t>
      </w:r>
      <w:r w:rsidR="0091200A" w:rsidRPr="00226D29">
        <w:rPr>
          <w:lang w:val="en-GB"/>
        </w:rPr>
        <w:t>logical developme</w:t>
      </w:r>
      <w:r>
        <w:rPr>
          <w:lang w:val="en-GB"/>
        </w:rPr>
        <w:t>n</w:t>
      </w:r>
      <w:r w:rsidR="0091200A" w:rsidRPr="00226D29">
        <w:rPr>
          <w:lang w:val="en-GB"/>
        </w:rPr>
        <w:t xml:space="preserve">t at the time and the period of their </w:t>
      </w:r>
      <w:r w:rsidR="005505A0" w:rsidRPr="00226D29">
        <w:rPr>
          <w:lang w:val="en-GB"/>
        </w:rPr>
        <w:t>e</w:t>
      </w:r>
      <w:r w:rsidR="0091200A" w:rsidRPr="00226D29">
        <w:rPr>
          <w:lang w:val="en-GB"/>
        </w:rPr>
        <w:t>conomic utility is coming to an end. By the end of this and in the next decade the period of t</w:t>
      </w:r>
      <w:r w:rsidR="00511F86" w:rsidRPr="00226D29">
        <w:rPr>
          <w:lang w:val="en-GB"/>
        </w:rPr>
        <w:t>he</w:t>
      </w:r>
      <w:r>
        <w:rPr>
          <w:lang w:val="en-GB"/>
        </w:rPr>
        <w:t>i</w:t>
      </w:r>
      <w:r w:rsidR="00511F86" w:rsidRPr="00226D29">
        <w:rPr>
          <w:lang w:val="en-GB"/>
        </w:rPr>
        <w:t>r technical utility will also</w:t>
      </w:r>
      <w:r w:rsidR="0091200A" w:rsidRPr="00226D29">
        <w:rPr>
          <w:lang w:val="en-GB"/>
        </w:rPr>
        <w:t xml:space="preserve"> expire.</w:t>
      </w:r>
    </w:p>
    <w:p w:rsidR="00B44D76" w:rsidRPr="00226D29" w:rsidRDefault="00B44D76" w:rsidP="005C0331">
      <w:pPr>
        <w:pStyle w:val="RStekst"/>
        <w:spacing w:line="360" w:lineRule="auto"/>
        <w:rPr>
          <w:lang w:val="en-GB"/>
        </w:rPr>
      </w:pPr>
    </w:p>
    <w:p w:rsidR="00E00CC1" w:rsidRPr="00226D29" w:rsidRDefault="00B44D76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>Company TEŠ (</w:t>
      </w:r>
      <w:r w:rsidR="00993BFE" w:rsidRPr="00226D29">
        <w:rPr>
          <w:lang w:val="en-GB"/>
        </w:rPr>
        <w:t xml:space="preserve">Termoelektrarna Šoštanj; </w:t>
      </w:r>
      <w:r w:rsidRPr="00226D29">
        <w:rPr>
          <w:lang w:val="en-GB"/>
        </w:rPr>
        <w:t>Šoštanj therm</w:t>
      </w:r>
      <w:r w:rsidR="00807AAF" w:rsidRPr="00226D29">
        <w:rPr>
          <w:lang w:val="en-GB"/>
        </w:rPr>
        <w:t>al po</w:t>
      </w:r>
      <w:r w:rsidRPr="00226D29">
        <w:rPr>
          <w:lang w:val="en-GB"/>
        </w:rPr>
        <w:t>wer</w:t>
      </w:r>
      <w:r w:rsidR="00A664C2">
        <w:rPr>
          <w:lang w:val="en-GB"/>
        </w:rPr>
        <w:t>-</w:t>
      </w:r>
      <w:r w:rsidRPr="00226D29">
        <w:rPr>
          <w:lang w:val="en-GB"/>
        </w:rPr>
        <w:t>plant)</w:t>
      </w:r>
      <w:r w:rsidR="00993BFE" w:rsidRPr="00226D29">
        <w:rPr>
          <w:lang w:val="en-GB"/>
        </w:rPr>
        <w:t xml:space="preserve"> </w:t>
      </w:r>
      <w:r w:rsidR="00807AAF" w:rsidRPr="00226D29">
        <w:rPr>
          <w:lang w:val="en-GB"/>
        </w:rPr>
        <w:t>i</w:t>
      </w:r>
      <w:r w:rsidR="00993BFE" w:rsidRPr="00226D29">
        <w:rPr>
          <w:lang w:val="en-GB"/>
        </w:rPr>
        <w:t>s</w:t>
      </w:r>
      <w:r w:rsidR="00807AAF" w:rsidRPr="00226D29">
        <w:rPr>
          <w:lang w:val="en-GB"/>
        </w:rPr>
        <w:t xml:space="preserve"> the largest </w:t>
      </w:r>
      <w:r w:rsidR="00403C3E">
        <w:rPr>
          <w:lang w:val="en-GB"/>
        </w:rPr>
        <w:t>therm</w:t>
      </w:r>
      <w:r w:rsidR="00A664C2">
        <w:rPr>
          <w:lang w:val="en-GB"/>
        </w:rPr>
        <w:t>al power-</w:t>
      </w:r>
      <w:r w:rsidR="00993BFE" w:rsidRPr="00226D29">
        <w:rPr>
          <w:lang w:val="en-GB"/>
        </w:rPr>
        <w:t xml:space="preserve">plant in the HSE </w:t>
      </w:r>
      <w:r w:rsidR="00807AAF" w:rsidRPr="00226D29">
        <w:rPr>
          <w:lang w:val="en-GB"/>
        </w:rPr>
        <w:t>g</w:t>
      </w:r>
      <w:r w:rsidR="00993BFE" w:rsidRPr="00226D29">
        <w:rPr>
          <w:lang w:val="en-GB"/>
        </w:rPr>
        <w:t>r</w:t>
      </w:r>
      <w:r w:rsidR="00807AAF" w:rsidRPr="00226D29">
        <w:rPr>
          <w:lang w:val="en-GB"/>
        </w:rPr>
        <w:t>o</w:t>
      </w:r>
      <w:r w:rsidR="00993BFE" w:rsidRPr="00226D29">
        <w:rPr>
          <w:lang w:val="en-GB"/>
        </w:rPr>
        <w:t>u</w:t>
      </w:r>
      <w:r w:rsidR="00807AAF" w:rsidRPr="00226D29">
        <w:rPr>
          <w:lang w:val="en-GB"/>
        </w:rPr>
        <w:t>p</w:t>
      </w:r>
      <w:r w:rsidR="00993BFE" w:rsidRPr="00226D29">
        <w:rPr>
          <w:lang w:val="en-GB"/>
        </w:rPr>
        <w:t xml:space="preserve"> ( Holdi</w:t>
      </w:r>
      <w:r w:rsidR="005043DC">
        <w:rPr>
          <w:lang w:val="en-GB"/>
        </w:rPr>
        <w:t>n</w:t>
      </w:r>
      <w:r w:rsidR="00993BFE" w:rsidRPr="00226D29">
        <w:rPr>
          <w:lang w:val="en-GB"/>
        </w:rPr>
        <w:t>g Slovenske Elektrarne). In</w:t>
      </w:r>
      <w:r w:rsidR="00807AAF" w:rsidRPr="00226D29">
        <w:rPr>
          <w:lang w:val="en-GB"/>
        </w:rPr>
        <w:t xml:space="preserve"> 1956 the first two blocks</w:t>
      </w:r>
      <w:r w:rsidR="00993BFE" w:rsidRPr="00226D29">
        <w:rPr>
          <w:lang w:val="en-GB"/>
        </w:rPr>
        <w:t xml:space="preserve"> of the power</w:t>
      </w:r>
      <w:r w:rsidR="00A664C2">
        <w:rPr>
          <w:lang w:val="en-GB"/>
        </w:rPr>
        <w:t>-</w:t>
      </w:r>
      <w:r w:rsidR="00993BFE" w:rsidRPr="00226D29">
        <w:rPr>
          <w:lang w:val="en-GB"/>
        </w:rPr>
        <w:t>plant</w:t>
      </w:r>
      <w:r w:rsidR="00807AAF" w:rsidRPr="00226D29">
        <w:rPr>
          <w:lang w:val="en-GB"/>
        </w:rPr>
        <w:t xml:space="preserve"> begun to operate, with three additional block</w:t>
      </w:r>
      <w:r w:rsidR="00993BFE" w:rsidRPr="00226D29">
        <w:rPr>
          <w:lang w:val="en-GB"/>
        </w:rPr>
        <w:t>s</w:t>
      </w:r>
      <w:r w:rsidR="00807AAF" w:rsidRPr="00226D29">
        <w:rPr>
          <w:lang w:val="en-GB"/>
        </w:rPr>
        <w:t xml:space="preserve"> being built in the nex</w:t>
      </w:r>
      <w:r w:rsidR="00993BFE" w:rsidRPr="00226D29">
        <w:rPr>
          <w:lang w:val="en-GB"/>
        </w:rPr>
        <w:t>t</w:t>
      </w:r>
      <w:r w:rsidR="00807AAF" w:rsidRPr="00226D29">
        <w:rPr>
          <w:lang w:val="en-GB"/>
        </w:rPr>
        <w:t xml:space="preserve"> 20 years. I</w:t>
      </w:r>
      <w:r w:rsidR="00993BFE" w:rsidRPr="00226D29">
        <w:rPr>
          <w:lang w:val="en-GB"/>
        </w:rPr>
        <w:t>n</w:t>
      </w:r>
      <w:r w:rsidR="00807AAF" w:rsidRPr="00226D29">
        <w:rPr>
          <w:lang w:val="en-GB"/>
        </w:rPr>
        <w:t xml:space="preserve"> 2008 blocks 4 and 5 </w:t>
      </w:r>
      <w:r w:rsidR="00993BFE" w:rsidRPr="00226D29">
        <w:rPr>
          <w:lang w:val="en-GB"/>
        </w:rPr>
        <w:t xml:space="preserve">underwent </w:t>
      </w:r>
      <w:r w:rsidR="00BC5BC5">
        <w:rPr>
          <w:lang w:val="en-GB"/>
        </w:rPr>
        <w:t>some</w:t>
      </w:r>
      <w:r w:rsidR="00993BFE" w:rsidRPr="00226D29">
        <w:rPr>
          <w:lang w:val="en-GB"/>
        </w:rPr>
        <w:t xml:space="preserve"> mo</w:t>
      </w:r>
      <w:r w:rsidR="00807AAF" w:rsidRPr="00226D29">
        <w:rPr>
          <w:lang w:val="en-GB"/>
        </w:rPr>
        <w:t>d</w:t>
      </w:r>
      <w:r w:rsidR="00993BFE" w:rsidRPr="00226D29">
        <w:rPr>
          <w:lang w:val="en-GB"/>
        </w:rPr>
        <w:t>e</w:t>
      </w:r>
      <w:r w:rsidR="00807AAF" w:rsidRPr="00226D29">
        <w:rPr>
          <w:lang w:val="en-GB"/>
        </w:rPr>
        <w:t>rnisation while the</w:t>
      </w:r>
      <w:r w:rsidR="00993BFE" w:rsidRPr="00226D29">
        <w:rPr>
          <w:lang w:val="en-GB"/>
        </w:rPr>
        <w:t xml:space="preserve"> </w:t>
      </w:r>
      <w:r w:rsidR="00807AAF" w:rsidRPr="00226D29">
        <w:rPr>
          <w:lang w:val="en-GB"/>
        </w:rPr>
        <w:t>oldest tw</w:t>
      </w:r>
      <w:r w:rsidR="00993BFE" w:rsidRPr="00226D29">
        <w:rPr>
          <w:lang w:val="en-GB"/>
        </w:rPr>
        <w:t>o</w:t>
      </w:r>
      <w:r w:rsidR="00807AAF" w:rsidRPr="00226D29">
        <w:rPr>
          <w:lang w:val="en-GB"/>
        </w:rPr>
        <w:t xml:space="preserve"> block</w:t>
      </w:r>
      <w:r w:rsidR="00993BFE" w:rsidRPr="00226D29">
        <w:rPr>
          <w:lang w:val="en-GB"/>
        </w:rPr>
        <w:t>s</w:t>
      </w:r>
      <w:r w:rsidR="00807AAF" w:rsidRPr="00226D29">
        <w:rPr>
          <w:lang w:val="en-GB"/>
        </w:rPr>
        <w:t xml:space="preserve"> have be</w:t>
      </w:r>
      <w:r w:rsidR="00993BFE" w:rsidRPr="00226D29">
        <w:rPr>
          <w:lang w:val="en-GB"/>
        </w:rPr>
        <w:t>e</w:t>
      </w:r>
      <w:r w:rsidR="00807AAF" w:rsidRPr="00226D29">
        <w:rPr>
          <w:lang w:val="en-GB"/>
        </w:rPr>
        <w:t xml:space="preserve">n shut down in 2008 and 2010 respectively. </w:t>
      </w:r>
      <w:r w:rsidR="00993BFE" w:rsidRPr="00226D29">
        <w:rPr>
          <w:lang w:val="en-GB"/>
        </w:rPr>
        <w:t>The company TEŠ has at the time decided to invest in building of a new coal power</w:t>
      </w:r>
      <w:r w:rsidR="00A664C2">
        <w:rPr>
          <w:lang w:val="en-GB"/>
        </w:rPr>
        <w:t>-</w:t>
      </w:r>
      <w:r w:rsidR="00993BFE" w:rsidRPr="00226D29">
        <w:rPr>
          <w:lang w:val="en-GB"/>
        </w:rPr>
        <w:t>plan</w:t>
      </w:r>
      <w:r w:rsidR="00F54462" w:rsidRPr="00226D29">
        <w:rPr>
          <w:lang w:val="en-GB"/>
        </w:rPr>
        <w:t>t</w:t>
      </w:r>
      <w:r w:rsidR="00403C3E">
        <w:rPr>
          <w:lang w:val="en-GB"/>
        </w:rPr>
        <w:t xml:space="preserve"> f</w:t>
      </w:r>
      <w:r w:rsidR="00F54462" w:rsidRPr="00226D29">
        <w:rPr>
          <w:lang w:val="en-GB"/>
        </w:rPr>
        <w:t>or production of electricity and b</w:t>
      </w:r>
      <w:r w:rsidR="00807AAF" w:rsidRPr="00226D29">
        <w:rPr>
          <w:lang w:val="en-GB"/>
        </w:rPr>
        <w:t>uildi</w:t>
      </w:r>
      <w:r w:rsidR="00993BFE" w:rsidRPr="00226D29">
        <w:rPr>
          <w:lang w:val="en-GB"/>
        </w:rPr>
        <w:t>n</w:t>
      </w:r>
      <w:r w:rsidR="00807AAF" w:rsidRPr="00226D29">
        <w:rPr>
          <w:lang w:val="en-GB"/>
        </w:rPr>
        <w:t>g</w:t>
      </w:r>
      <w:r w:rsidR="00993BFE" w:rsidRPr="00226D29">
        <w:rPr>
          <w:lang w:val="en-GB"/>
        </w:rPr>
        <w:t xml:space="preserve"> of a new blo</w:t>
      </w:r>
      <w:r w:rsidR="00807AAF" w:rsidRPr="00226D29">
        <w:rPr>
          <w:lang w:val="en-GB"/>
        </w:rPr>
        <w:t>c</w:t>
      </w:r>
      <w:r w:rsidR="00F54462" w:rsidRPr="00226D29">
        <w:rPr>
          <w:lang w:val="en-GB"/>
        </w:rPr>
        <w:t>k</w:t>
      </w:r>
      <w:r w:rsidR="00807AAF" w:rsidRPr="00226D29">
        <w:rPr>
          <w:lang w:val="en-GB"/>
        </w:rPr>
        <w:t>, block 6</w:t>
      </w:r>
      <w:r w:rsidR="00BC5BC5">
        <w:rPr>
          <w:lang w:val="en-GB"/>
        </w:rPr>
        <w:t xml:space="preserve">. As such large and relevant project it </w:t>
      </w:r>
      <w:r w:rsidR="00807AAF" w:rsidRPr="00226D29">
        <w:rPr>
          <w:lang w:val="en-GB"/>
        </w:rPr>
        <w:t>was</w:t>
      </w:r>
      <w:r w:rsidR="00BC5BC5">
        <w:rPr>
          <w:lang w:val="en-GB"/>
        </w:rPr>
        <w:t xml:space="preserve"> </w:t>
      </w:r>
      <w:r w:rsidR="00807AAF" w:rsidRPr="00226D29">
        <w:rPr>
          <w:lang w:val="en-GB"/>
        </w:rPr>
        <w:t xml:space="preserve">included by the Government </w:t>
      </w:r>
      <w:r w:rsidR="00F54462" w:rsidRPr="00226D29">
        <w:rPr>
          <w:lang w:val="en-GB"/>
        </w:rPr>
        <w:t>in</w:t>
      </w:r>
      <w:r w:rsidR="00807AAF" w:rsidRPr="00226D29">
        <w:rPr>
          <w:lang w:val="en-GB"/>
        </w:rPr>
        <w:t xml:space="preserve"> the Resolution on national development projects for the period 2007-2023. </w:t>
      </w:r>
      <w:r w:rsidR="00B539E7" w:rsidRPr="00226D29">
        <w:rPr>
          <w:lang w:val="en-GB"/>
        </w:rPr>
        <w:t>T</w:t>
      </w:r>
      <w:r w:rsidR="00C543E3" w:rsidRPr="00226D29">
        <w:rPr>
          <w:lang w:val="en-GB"/>
        </w:rPr>
        <w:t>h</w:t>
      </w:r>
      <w:r w:rsidR="00B539E7" w:rsidRPr="00226D29">
        <w:rPr>
          <w:lang w:val="en-GB"/>
        </w:rPr>
        <w:t>e</w:t>
      </w:r>
      <w:r w:rsidR="00C543E3" w:rsidRPr="00226D29">
        <w:rPr>
          <w:lang w:val="en-GB"/>
        </w:rPr>
        <w:t xml:space="preserve"> block 6 investment is the largest investment in the</w:t>
      </w:r>
      <w:r w:rsidR="00B539E7" w:rsidRPr="00226D29">
        <w:rPr>
          <w:lang w:val="en-GB"/>
        </w:rPr>
        <w:t xml:space="preserve"> </w:t>
      </w:r>
      <w:r w:rsidR="00C543E3" w:rsidRPr="00226D29">
        <w:rPr>
          <w:lang w:val="en-GB"/>
        </w:rPr>
        <w:t>en</w:t>
      </w:r>
      <w:r w:rsidR="00403C3E">
        <w:rPr>
          <w:lang w:val="en-GB"/>
        </w:rPr>
        <w:t>e</w:t>
      </w:r>
      <w:r w:rsidR="00C543E3" w:rsidRPr="00226D29">
        <w:rPr>
          <w:lang w:val="en-GB"/>
        </w:rPr>
        <w:t>rgy sector</w:t>
      </w:r>
      <w:r w:rsidR="00993BFE" w:rsidRPr="00226D29">
        <w:rPr>
          <w:lang w:val="en-GB"/>
        </w:rPr>
        <w:t xml:space="preserve"> in Slovenia</w:t>
      </w:r>
      <w:r w:rsidR="00C543E3" w:rsidRPr="00226D29">
        <w:rPr>
          <w:lang w:val="en-GB"/>
        </w:rPr>
        <w:t xml:space="preserve">, </w:t>
      </w:r>
      <w:r w:rsidR="00B539E7" w:rsidRPr="00226D29">
        <w:rPr>
          <w:lang w:val="en-GB"/>
        </w:rPr>
        <w:t>fo</w:t>
      </w:r>
      <w:r w:rsidR="00993BFE" w:rsidRPr="00226D29">
        <w:rPr>
          <w:lang w:val="en-GB"/>
        </w:rPr>
        <w:t>r</w:t>
      </w:r>
      <w:r w:rsidR="00B539E7" w:rsidRPr="00226D29">
        <w:rPr>
          <w:lang w:val="en-GB"/>
        </w:rPr>
        <w:t xml:space="preserve"> which the company TEŠ has tak</w:t>
      </w:r>
      <w:r w:rsidR="00993BFE" w:rsidRPr="00226D29">
        <w:rPr>
          <w:lang w:val="en-GB"/>
        </w:rPr>
        <w:t>e</w:t>
      </w:r>
      <w:r w:rsidR="00B539E7" w:rsidRPr="00226D29">
        <w:rPr>
          <w:lang w:val="en-GB"/>
        </w:rPr>
        <w:t>n on a long-term loan of 440 mil</w:t>
      </w:r>
      <w:r w:rsidR="00403C3E">
        <w:rPr>
          <w:lang w:val="en-GB"/>
        </w:rPr>
        <w:t>l</w:t>
      </w:r>
      <w:r w:rsidR="00B539E7" w:rsidRPr="00226D29">
        <w:rPr>
          <w:lang w:val="en-GB"/>
        </w:rPr>
        <w:t>ion euros</w:t>
      </w:r>
      <w:r w:rsidR="00F10740">
        <w:rPr>
          <w:lang w:val="en-GB"/>
        </w:rPr>
        <w:t>, underwritten by</w:t>
      </w:r>
      <w:r w:rsidR="00B539E7" w:rsidRPr="00226D29">
        <w:rPr>
          <w:lang w:val="en-GB"/>
        </w:rPr>
        <w:t xml:space="preserve"> t</w:t>
      </w:r>
      <w:r w:rsidR="00993BFE" w:rsidRPr="00226D29">
        <w:rPr>
          <w:lang w:val="en-GB"/>
        </w:rPr>
        <w:t>he Republi</w:t>
      </w:r>
      <w:r w:rsidR="008C3206" w:rsidRPr="00226D29">
        <w:rPr>
          <w:lang w:val="en-GB"/>
        </w:rPr>
        <w:t>c of Slovenia</w:t>
      </w:r>
      <w:r w:rsidR="00B539E7" w:rsidRPr="00226D29">
        <w:rPr>
          <w:lang w:val="en-GB"/>
        </w:rPr>
        <w:t>. The consequence o</w:t>
      </w:r>
      <w:r w:rsidR="00993BFE" w:rsidRPr="00226D29">
        <w:rPr>
          <w:lang w:val="en-GB"/>
        </w:rPr>
        <w:t>f such guarantee is a ce</w:t>
      </w:r>
      <w:r w:rsidR="00403C3E">
        <w:rPr>
          <w:lang w:val="en-GB"/>
        </w:rPr>
        <w:t>r</w:t>
      </w:r>
      <w:r w:rsidR="00993BFE" w:rsidRPr="00226D29">
        <w:rPr>
          <w:lang w:val="en-GB"/>
        </w:rPr>
        <w:t>tain le</w:t>
      </w:r>
      <w:r w:rsidR="00B539E7" w:rsidRPr="00226D29">
        <w:rPr>
          <w:lang w:val="en-GB"/>
        </w:rPr>
        <w:t>v</w:t>
      </w:r>
      <w:r w:rsidR="00993BFE" w:rsidRPr="00226D29">
        <w:rPr>
          <w:lang w:val="en-GB"/>
        </w:rPr>
        <w:t>e</w:t>
      </w:r>
      <w:r w:rsidR="00B539E7" w:rsidRPr="00226D29">
        <w:rPr>
          <w:lang w:val="en-GB"/>
        </w:rPr>
        <w:t xml:space="preserve">l of exposure of the State </w:t>
      </w:r>
      <w:r w:rsidR="00993BFE" w:rsidRPr="00226D29">
        <w:rPr>
          <w:lang w:val="en-GB"/>
        </w:rPr>
        <w:t>to the success of th</w:t>
      </w:r>
      <w:r w:rsidR="00B539E7" w:rsidRPr="00226D29">
        <w:rPr>
          <w:lang w:val="en-GB"/>
        </w:rPr>
        <w:t>e</w:t>
      </w:r>
      <w:r w:rsidR="00993BFE" w:rsidRPr="00226D29">
        <w:rPr>
          <w:lang w:val="en-GB"/>
        </w:rPr>
        <w:t xml:space="preserve"> </w:t>
      </w:r>
      <w:r w:rsidR="00403C3E" w:rsidRPr="00403C3E">
        <w:rPr>
          <w:lang w:val="en-GB"/>
        </w:rPr>
        <w:t>inve</w:t>
      </w:r>
      <w:r w:rsidR="00B539E7" w:rsidRPr="00226D29">
        <w:rPr>
          <w:lang w:val="en-GB"/>
        </w:rPr>
        <w:t>s</w:t>
      </w:r>
      <w:r w:rsidR="00403C3E">
        <w:rPr>
          <w:lang w:val="en-GB"/>
        </w:rPr>
        <w:t>t</w:t>
      </w:r>
      <w:r w:rsidR="00B539E7" w:rsidRPr="00226D29">
        <w:rPr>
          <w:lang w:val="en-GB"/>
        </w:rPr>
        <w:t>ment, even more so because the State is at th</w:t>
      </w:r>
      <w:r w:rsidR="00993BFE" w:rsidRPr="00226D29">
        <w:rPr>
          <w:lang w:val="en-GB"/>
        </w:rPr>
        <w:t>e</w:t>
      </w:r>
      <w:r w:rsidR="00B539E7" w:rsidRPr="00226D29">
        <w:rPr>
          <w:lang w:val="en-GB"/>
        </w:rPr>
        <w:t xml:space="preserve"> same time the sole owner of the company HSE, a 100% ow</w:t>
      </w:r>
      <w:r w:rsidR="007132D4" w:rsidRPr="00226D29">
        <w:rPr>
          <w:lang w:val="en-GB"/>
        </w:rPr>
        <w:t>ner of the investor, company TEŠ</w:t>
      </w:r>
      <w:r w:rsidR="00CE660B">
        <w:rPr>
          <w:lang w:val="en-GB"/>
        </w:rPr>
        <w:t>.</w:t>
      </w:r>
    </w:p>
    <w:p w:rsidR="002F14E6" w:rsidRPr="00226D29" w:rsidRDefault="002F14E6" w:rsidP="005C0331">
      <w:pPr>
        <w:pStyle w:val="RStekst"/>
        <w:spacing w:line="360" w:lineRule="auto"/>
        <w:rPr>
          <w:lang w:val="en-GB"/>
        </w:rPr>
      </w:pPr>
    </w:p>
    <w:p w:rsidR="002F14E6" w:rsidRPr="00226D29" w:rsidRDefault="002F14E6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>The</w:t>
      </w:r>
      <w:r w:rsidR="00AC205F">
        <w:rPr>
          <w:lang w:val="en-GB"/>
        </w:rPr>
        <w:t xml:space="preserve"> Court of Audit of the Republic of Slovenia ( hereafter: the Court)</w:t>
      </w:r>
      <w:r w:rsidRPr="00226D29">
        <w:rPr>
          <w:lang w:val="en-GB"/>
        </w:rPr>
        <w:t xml:space="preserve"> </w:t>
      </w:r>
      <w:r w:rsidR="00AC205F">
        <w:rPr>
          <w:lang w:val="en-GB"/>
        </w:rPr>
        <w:t xml:space="preserve">conducted an audit with the </w:t>
      </w:r>
      <w:r w:rsidRPr="00226D29">
        <w:rPr>
          <w:lang w:val="en-GB"/>
        </w:rPr>
        <w:t>aim of this audit was to issue an o</w:t>
      </w:r>
      <w:r w:rsidR="00237C5A" w:rsidRPr="00226D29">
        <w:rPr>
          <w:lang w:val="en-GB"/>
        </w:rPr>
        <w:t>pinion on the effi</w:t>
      </w:r>
      <w:r w:rsidR="00C05370" w:rsidRPr="00226D29">
        <w:rPr>
          <w:lang w:val="en-GB"/>
        </w:rPr>
        <w:t>ciency</w:t>
      </w:r>
      <w:r w:rsidRPr="00226D29">
        <w:rPr>
          <w:lang w:val="en-GB"/>
        </w:rPr>
        <w:t xml:space="preserve"> </w:t>
      </w:r>
      <w:r w:rsidR="00C05370" w:rsidRPr="00226D29">
        <w:rPr>
          <w:lang w:val="en-GB"/>
        </w:rPr>
        <w:t xml:space="preserve">of planning and </w:t>
      </w:r>
      <w:r w:rsidRPr="00226D29">
        <w:rPr>
          <w:lang w:val="en-GB"/>
        </w:rPr>
        <w:t>man</w:t>
      </w:r>
      <w:r w:rsidR="00BC42EC" w:rsidRPr="00226D29">
        <w:rPr>
          <w:lang w:val="en-GB"/>
        </w:rPr>
        <w:t>a</w:t>
      </w:r>
      <w:r w:rsidRPr="00226D29">
        <w:rPr>
          <w:lang w:val="en-GB"/>
        </w:rPr>
        <w:t xml:space="preserve">gement of </w:t>
      </w:r>
      <w:r w:rsidR="00C05370" w:rsidRPr="00226D29">
        <w:rPr>
          <w:lang w:val="en-GB"/>
        </w:rPr>
        <w:t xml:space="preserve">financing resources of </w:t>
      </w:r>
      <w:r w:rsidRPr="00226D29">
        <w:rPr>
          <w:lang w:val="en-GB"/>
        </w:rPr>
        <w:t>the HSE group</w:t>
      </w:r>
      <w:r w:rsidR="00F54462" w:rsidRPr="00226D29">
        <w:rPr>
          <w:lang w:val="en-GB"/>
        </w:rPr>
        <w:t xml:space="preserve"> </w:t>
      </w:r>
      <w:r w:rsidR="00424125" w:rsidRPr="00226D29">
        <w:rPr>
          <w:lang w:val="en-GB"/>
        </w:rPr>
        <w:t>f</w:t>
      </w:r>
      <w:r w:rsidR="00F54462" w:rsidRPr="00226D29">
        <w:rPr>
          <w:lang w:val="en-GB"/>
        </w:rPr>
        <w:t>o</w:t>
      </w:r>
      <w:r w:rsidR="00424125" w:rsidRPr="00226D29">
        <w:rPr>
          <w:lang w:val="en-GB"/>
        </w:rPr>
        <w:t xml:space="preserve">r the block 6 investment </w:t>
      </w:r>
      <w:r w:rsidRPr="00226D29">
        <w:rPr>
          <w:lang w:val="en-GB"/>
        </w:rPr>
        <w:t>in the period f</w:t>
      </w:r>
      <w:r w:rsidR="00403C3E">
        <w:rPr>
          <w:lang w:val="en-GB"/>
        </w:rPr>
        <w:t>r</w:t>
      </w:r>
      <w:r w:rsidRPr="00226D29">
        <w:rPr>
          <w:lang w:val="en-GB"/>
        </w:rPr>
        <w:t>om 1.1.2012 to 31.12.2014</w:t>
      </w:r>
      <w:r w:rsidR="00F54462" w:rsidRPr="00226D29">
        <w:rPr>
          <w:lang w:val="en-GB"/>
        </w:rPr>
        <w:t>.</w:t>
      </w:r>
    </w:p>
    <w:p w:rsidR="007E79E8" w:rsidRPr="00226D29" w:rsidRDefault="006D1309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 xml:space="preserve"> </w:t>
      </w:r>
    </w:p>
    <w:p w:rsidR="00FD21DA" w:rsidRPr="00226D29" w:rsidRDefault="00B212FA" w:rsidP="005C0331">
      <w:pPr>
        <w:pStyle w:val="RStekst"/>
        <w:spacing w:line="360" w:lineRule="auto"/>
        <w:rPr>
          <w:lang w:val="en-GB"/>
        </w:rPr>
      </w:pPr>
      <w:r>
        <w:rPr>
          <w:lang w:val="en-GB"/>
        </w:rPr>
        <w:t>U</w:t>
      </w:r>
      <w:r w:rsidRPr="00226D29">
        <w:rPr>
          <w:lang w:val="en-GB"/>
        </w:rPr>
        <w:t>n</w:t>
      </w:r>
      <w:r>
        <w:rPr>
          <w:lang w:val="en-GB"/>
        </w:rPr>
        <w:t>t</w:t>
      </w:r>
      <w:r w:rsidRPr="00226D29">
        <w:rPr>
          <w:lang w:val="en-GB"/>
        </w:rPr>
        <w:t>il 2013</w:t>
      </w:r>
      <w:r>
        <w:rPr>
          <w:lang w:val="en-GB"/>
        </w:rPr>
        <w:t xml:space="preserve"> t</w:t>
      </w:r>
      <w:r w:rsidR="00FD21DA" w:rsidRPr="00226D29">
        <w:rPr>
          <w:lang w:val="en-GB"/>
        </w:rPr>
        <w:t xml:space="preserve">he </w:t>
      </w:r>
      <w:r w:rsidR="009B7718">
        <w:rPr>
          <w:lang w:val="en-GB"/>
        </w:rPr>
        <w:t xml:space="preserve">company </w:t>
      </w:r>
      <w:r w:rsidR="00FD21DA" w:rsidRPr="00226D29">
        <w:rPr>
          <w:lang w:val="en-GB"/>
        </w:rPr>
        <w:t xml:space="preserve">HSE has not </w:t>
      </w:r>
      <w:r>
        <w:rPr>
          <w:lang w:val="en-GB"/>
        </w:rPr>
        <w:t>developed any</w:t>
      </w:r>
      <w:r w:rsidR="009B7718">
        <w:rPr>
          <w:lang w:val="en-GB"/>
        </w:rPr>
        <w:t xml:space="preserve"> </w:t>
      </w:r>
      <w:r w:rsidR="00FD21DA" w:rsidRPr="00226D29">
        <w:rPr>
          <w:lang w:val="en-GB"/>
        </w:rPr>
        <w:t>scenarios to plan for a pos</w:t>
      </w:r>
      <w:r w:rsidR="00403C3E">
        <w:rPr>
          <w:lang w:val="en-GB"/>
        </w:rPr>
        <w:t>i</w:t>
      </w:r>
      <w:r w:rsidR="00FD21DA" w:rsidRPr="00226D29">
        <w:rPr>
          <w:lang w:val="en-GB"/>
        </w:rPr>
        <w:t>t</w:t>
      </w:r>
      <w:r w:rsidR="00403C3E">
        <w:rPr>
          <w:lang w:val="en-GB"/>
        </w:rPr>
        <w:t>i</w:t>
      </w:r>
      <w:r w:rsidR="00FD21DA" w:rsidRPr="00226D29">
        <w:rPr>
          <w:lang w:val="en-GB"/>
        </w:rPr>
        <w:t>ve cash-flow regardi</w:t>
      </w:r>
      <w:r w:rsidR="00403C3E">
        <w:rPr>
          <w:lang w:val="en-GB"/>
        </w:rPr>
        <w:t>n</w:t>
      </w:r>
      <w:r w:rsidR="00FD21DA" w:rsidRPr="00226D29">
        <w:rPr>
          <w:lang w:val="en-GB"/>
        </w:rPr>
        <w:t>g the planned investm</w:t>
      </w:r>
      <w:r w:rsidR="00403C3E">
        <w:rPr>
          <w:lang w:val="en-GB"/>
        </w:rPr>
        <w:t>e</w:t>
      </w:r>
      <w:r w:rsidR="00FD21DA" w:rsidRPr="00226D29">
        <w:rPr>
          <w:lang w:val="en-GB"/>
        </w:rPr>
        <w:t>nt in block 6 at all</w:t>
      </w:r>
      <w:r w:rsidR="009B7718">
        <w:rPr>
          <w:lang w:val="en-GB"/>
        </w:rPr>
        <w:t xml:space="preserve">. Only then did </w:t>
      </w:r>
      <w:r>
        <w:rPr>
          <w:lang w:val="en-GB"/>
        </w:rPr>
        <w:t xml:space="preserve">it begin  with </w:t>
      </w:r>
      <w:r w:rsidR="00FD21DA" w:rsidRPr="00226D29">
        <w:rPr>
          <w:lang w:val="en-GB"/>
        </w:rPr>
        <w:t>the fina</w:t>
      </w:r>
      <w:r w:rsidR="00403C3E">
        <w:rPr>
          <w:lang w:val="en-GB"/>
        </w:rPr>
        <w:t>n</w:t>
      </w:r>
      <w:r w:rsidR="00FD21DA" w:rsidRPr="00226D29">
        <w:rPr>
          <w:lang w:val="en-GB"/>
        </w:rPr>
        <w:t>ci</w:t>
      </w:r>
      <w:r w:rsidR="00403C3E" w:rsidRPr="00403C3E">
        <w:rPr>
          <w:lang w:val="en-GB"/>
        </w:rPr>
        <w:t>al evalu</w:t>
      </w:r>
      <w:r w:rsidR="00403C3E">
        <w:rPr>
          <w:lang w:val="en-GB"/>
        </w:rPr>
        <w:t>a</w:t>
      </w:r>
      <w:r w:rsidR="00FD21DA" w:rsidRPr="00226D29">
        <w:rPr>
          <w:lang w:val="en-GB"/>
        </w:rPr>
        <w:t>tions of the</w:t>
      </w:r>
      <w:r w:rsidR="00403C3E">
        <w:rPr>
          <w:lang w:val="en-GB"/>
        </w:rPr>
        <w:t xml:space="preserve"> </w:t>
      </w:r>
      <w:r w:rsidR="00FD21DA" w:rsidRPr="00226D29">
        <w:rPr>
          <w:lang w:val="en-GB"/>
        </w:rPr>
        <w:t xml:space="preserve">measures </w:t>
      </w:r>
      <w:r w:rsidR="00FD21DA" w:rsidRPr="0009191A">
        <w:rPr>
          <w:lang w:val="en-GB"/>
        </w:rPr>
        <w:t>envisaged</w:t>
      </w:r>
      <w:r w:rsidR="009B7718" w:rsidRPr="0009191A">
        <w:rPr>
          <w:lang w:val="en-GB"/>
        </w:rPr>
        <w:t xml:space="preserve"> to be undertaken to this end and</w:t>
      </w:r>
      <w:r w:rsidR="009B7718" w:rsidRPr="004F2699">
        <w:rPr>
          <w:lang w:val="en-GB"/>
        </w:rPr>
        <w:t xml:space="preserve"> were</w:t>
      </w:r>
      <w:r w:rsidR="00FD21DA" w:rsidRPr="0009191A">
        <w:rPr>
          <w:lang w:val="en-GB"/>
        </w:rPr>
        <w:t xml:space="preserve"> completed by July 2014. </w:t>
      </w:r>
      <w:r w:rsidR="00E806DC" w:rsidRPr="0009191A">
        <w:rPr>
          <w:lang w:val="en-GB"/>
        </w:rPr>
        <w:t>Also in 2014 the company HSE and</w:t>
      </w:r>
      <w:r w:rsidR="00403C3E" w:rsidRPr="0009191A">
        <w:rPr>
          <w:lang w:val="en-GB"/>
        </w:rPr>
        <w:t xml:space="preserve"> the HSE group underwent</w:t>
      </w:r>
      <w:r w:rsidR="00E806DC" w:rsidRPr="0009191A">
        <w:rPr>
          <w:lang w:val="en-GB"/>
        </w:rPr>
        <w:t xml:space="preserve"> a process of rationali</w:t>
      </w:r>
      <w:r w:rsidR="00403C3E" w:rsidRPr="0009191A">
        <w:rPr>
          <w:lang w:val="en-GB"/>
        </w:rPr>
        <w:t>s</w:t>
      </w:r>
      <w:r w:rsidR="00E806DC" w:rsidRPr="0009191A">
        <w:rPr>
          <w:lang w:val="en-GB"/>
        </w:rPr>
        <w:t>ation</w:t>
      </w:r>
      <w:r w:rsidR="00E806DC" w:rsidRPr="004F2699">
        <w:rPr>
          <w:lang w:val="en-GB"/>
        </w:rPr>
        <w:t xml:space="preserve"> and optim</w:t>
      </w:r>
      <w:r w:rsidR="00403C3E" w:rsidRPr="004F2699">
        <w:rPr>
          <w:lang w:val="en-GB"/>
        </w:rPr>
        <w:t>i</w:t>
      </w:r>
      <w:r w:rsidR="00E806DC" w:rsidRPr="004F2699">
        <w:rPr>
          <w:lang w:val="en-GB"/>
        </w:rPr>
        <w:t>sation but it is not possibl</w:t>
      </w:r>
      <w:r w:rsidR="00403C3E" w:rsidRPr="004F2699">
        <w:rPr>
          <w:lang w:val="en-GB"/>
        </w:rPr>
        <w:t>e</w:t>
      </w:r>
      <w:r w:rsidR="00E806DC" w:rsidRPr="004F2699">
        <w:rPr>
          <w:lang w:val="en-GB"/>
        </w:rPr>
        <w:t xml:space="preserve"> to assess how much of the expected 45,4 mil</w:t>
      </w:r>
      <w:r w:rsidR="00F7774E" w:rsidRPr="004F2699">
        <w:rPr>
          <w:lang w:val="en-GB"/>
        </w:rPr>
        <w:t>lion</w:t>
      </w:r>
      <w:r w:rsidR="00E806DC" w:rsidRPr="0009191A">
        <w:rPr>
          <w:lang w:val="en-GB"/>
        </w:rPr>
        <w:t xml:space="preserve"> euros </w:t>
      </w:r>
      <w:r w:rsidR="00403C3E" w:rsidRPr="0009191A">
        <w:rPr>
          <w:lang w:val="en-GB"/>
        </w:rPr>
        <w:t xml:space="preserve">of savings </w:t>
      </w:r>
      <w:r w:rsidR="00E806DC" w:rsidRPr="0009191A">
        <w:rPr>
          <w:lang w:val="en-GB"/>
        </w:rPr>
        <w:t xml:space="preserve">have actually been achieved and </w:t>
      </w:r>
      <w:r w:rsidR="00E806DC" w:rsidRPr="0009191A">
        <w:rPr>
          <w:lang w:val="en-GB"/>
        </w:rPr>
        <w:lastRenderedPageBreak/>
        <w:t>there</w:t>
      </w:r>
      <w:r w:rsidR="00F7774E" w:rsidRPr="004F2699">
        <w:rPr>
          <w:lang w:val="en-GB"/>
        </w:rPr>
        <w:t>by</w:t>
      </w:r>
      <w:r w:rsidR="00E806DC" w:rsidRPr="0009191A">
        <w:rPr>
          <w:lang w:val="en-GB"/>
        </w:rPr>
        <w:t xml:space="preserve"> available fo</w:t>
      </w:r>
      <w:r w:rsidR="00403C3E" w:rsidRPr="0009191A">
        <w:rPr>
          <w:lang w:val="en-GB"/>
        </w:rPr>
        <w:t>r</w:t>
      </w:r>
      <w:r w:rsidR="00E806DC" w:rsidRPr="0009191A">
        <w:rPr>
          <w:lang w:val="en-GB"/>
        </w:rPr>
        <w:t xml:space="preserve"> financing of </w:t>
      </w:r>
      <w:r w:rsidR="00E806DC" w:rsidRPr="004F2699">
        <w:rPr>
          <w:lang w:val="en-GB"/>
        </w:rPr>
        <w:t xml:space="preserve">investments. </w:t>
      </w:r>
      <w:r w:rsidR="00403C3E" w:rsidRPr="004F2699">
        <w:rPr>
          <w:lang w:val="en-GB"/>
        </w:rPr>
        <w:t>It has been establis</w:t>
      </w:r>
      <w:r w:rsidR="00E806DC" w:rsidRPr="004F2699">
        <w:rPr>
          <w:lang w:val="en-GB"/>
        </w:rPr>
        <w:t>h</w:t>
      </w:r>
      <w:r w:rsidR="00403C3E" w:rsidRPr="004F2699">
        <w:rPr>
          <w:lang w:val="en-GB"/>
        </w:rPr>
        <w:t>e</w:t>
      </w:r>
      <w:r w:rsidR="00E806DC" w:rsidRPr="004F2699">
        <w:rPr>
          <w:lang w:val="en-GB"/>
        </w:rPr>
        <w:t>d that the</w:t>
      </w:r>
      <w:r w:rsidR="0009191A" w:rsidRPr="004F2699">
        <w:rPr>
          <w:lang w:val="en-GB"/>
        </w:rPr>
        <w:t xml:space="preserve"> company</w:t>
      </w:r>
      <w:r w:rsidR="00E806DC" w:rsidRPr="0009191A">
        <w:rPr>
          <w:lang w:val="en-GB"/>
        </w:rPr>
        <w:t xml:space="preserve"> HSE has not had an </w:t>
      </w:r>
      <w:r w:rsidR="00E806DC" w:rsidRPr="003D2048">
        <w:rPr>
          <w:lang w:val="en-GB"/>
        </w:rPr>
        <w:t>effici</w:t>
      </w:r>
      <w:r w:rsidR="00403C3E" w:rsidRPr="004F2699">
        <w:rPr>
          <w:lang w:val="en-GB"/>
        </w:rPr>
        <w:t>e</w:t>
      </w:r>
      <w:r w:rsidR="00E806DC" w:rsidRPr="004F2699">
        <w:rPr>
          <w:lang w:val="en-GB"/>
        </w:rPr>
        <w:t>nt and transparent</w:t>
      </w:r>
      <w:r w:rsidR="008C36AB">
        <w:rPr>
          <w:u w:val="single"/>
          <w:lang w:val="en-GB"/>
        </w:rPr>
        <w:t xml:space="preserve"> </w:t>
      </w:r>
      <w:r w:rsidR="00E806DC" w:rsidRPr="00226D29">
        <w:rPr>
          <w:lang w:val="en-GB"/>
        </w:rPr>
        <w:t>management plan for other comp</w:t>
      </w:r>
      <w:r w:rsidR="00403C3E">
        <w:rPr>
          <w:lang w:val="en-GB"/>
        </w:rPr>
        <w:t>a</w:t>
      </w:r>
      <w:r w:rsidR="00E806DC" w:rsidRPr="00226D29">
        <w:rPr>
          <w:lang w:val="en-GB"/>
        </w:rPr>
        <w:t>nies in the gro</w:t>
      </w:r>
      <w:r w:rsidR="00403C3E">
        <w:rPr>
          <w:lang w:val="en-GB"/>
        </w:rPr>
        <w:t>u</w:t>
      </w:r>
      <w:r w:rsidR="00E806DC" w:rsidRPr="00226D29">
        <w:rPr>
          <w:lang w:val="en-GB"/>
        </w:rPr>
        <w:t>p</w:t>
      </w:r>
      <w:r w:rsidR="00403C3E">
        <w:rPr>
          <w:lang w:val="en-GB"/>
        </w:rPr>
        <w:t>i</w:t>
      </w:r>
      <w:r w:rsidR="00E806DC" w:rsidRPr="00226D29">
        <w:rPr>
          <w:lang w:val="en-GB"/>
        </w:rPr>
        <w:t xml:space="preserve">ng </w:t>
      </w:r>
      <w:r w:rsidR="008C36AB">
        <w:rPr>
          <w:lang w:val="en-GB"/>
        </w:rPr>
        <w:t>in</w:t>
      </w:r>
      <w:r w:rsidR="00E806DC" w:rsidRPr="00226D29">
        <w:rPr>
          <w:lang w:val="en-GB"/>
        </w:rPr>
        <w:t xml:space="preserve"> the years 2012 -2014. This became evid</w:t>
      </w:r>
      <w:r w:rsidR="00403C3E">
        <w:rPr>
          <w:lang w:val="en-GB"/>
        </w:rPr>
        <w:t>e</w:t>
      </w:r>
      <w:r w:rsidR="00E806DC" w:rsidRPr="00226D29">
        <w:rPr>
          <w:lang w:val="en-GB"/>
        </w:rPr>
        <w:t>nt whe</w:t>
      </w:r>
      <w:r w:rsidR="00403C3E" w:rsidRPr="00403C3E">
        <w:rPr>
          <w:lang w:val="en-GB"/>
        </w:rPr>
        <w:t xml:space="preserve">n the information necessary for planning of the </w:t>
      </w:r>
      <w:r w:rsidR="0009191A">
        <w:rPr>
          <w:lang w:val="en-GB"/>
        </w:rPr>
        <w:t>b</w:t>
      </w:r>
      <w:r w:rsidR="001B4B13">
        <w:rPr>
          <w:lang w:val="en-GB"/>
        </w:rPr>
        <w:t xml:space="preserve">lock 6 investment </w:t>
      </w:r>
      <w:r w:rsidR="008C36AB">
        <w:rPr>
          <w:lang w:val="en-GB"/>
        </w:rPr>
        <w:t xml:space="preserve">later </w:t>
      </w:r>
      <w:r w:rsidR="00E0772C" w:rsidRPr="00226D29">
        <w:rPr>
          <w:lang w:val="en-GB"/>
        </w:rPr>
        <w:t xml:space="preserve">proved to be </w:t>
      </w:r>
      <w:r w:rsidR="00E806DC" w:rsidRPr="00226D29">
        <w:rPr>
          <w:lang w:val="en-GB"/>
        </w:rPr>
        <w:t xml:space="preserve">unreliable and </w:t>
      </w:r>
      <w:r w:rsidR="00E0772C" w:rsidRPr="00226D29">
        <w:rPr>
          <w:lang w:val="en-GB"/>
        </w:rPr>
        <w:t xml:space="preserve">therefore </w:t>
      </w:r>
      <w:r w:rsidR="00E806DC" w:rsidRPr="00226D29">
        <w:rPr>
          <w:lang w:val="en-GB"/>
        </w:rPr>
        <w:t>not adequate for sound investment decisions to b</w:t>
      </w:r>
      <w:r w:rsidR="00E0772C" w:rsidRPr="00226D29">
        <w:rPr>
          <w:lang w:val="en-GB"/>
        </w:rPr>
        <w:t>e made at the time.</w:t>
      </w:r>
    </w:p>
    <w:p w:rsidR="007C04D9" w:rsidRPr="00226D29" w:rsidRDefault="007C04D9" w:rsidP="005C0331">
      <w:pPr>
        <w:pStyle w:val="RStekst"/>
        <w:spacing w:line="360" w:lineRule="auto"/>
        <w:rPr>
          <w:lang w:val="en-GB"/>
        </w:rPr>
      </w:pPr>
    </w:p>
    <w:p w:rsidR="007C04D9" w:rsidRPr="00226D29" w:rsidRDefault="007C04D9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 xml:space="preserve">By the end of 2014 the </w:t>
      </w:r>
      <w:r w:rsidR="008C36AB" w:rsidRPr="00226D29">
        <w:rPr>
          <w:lang w:val="en-GB"/>
        </w:rPr>
        <w:t>com</w:t>
      </w:r>
      <w:r w:rsidR="008C36AB">
        <w:rPr>
          <w:lang w:val="en-GB"/>
        </w:rPr>
        <w:t>p</w:t>
      </w:r>
      <w:r w:rsidR="008C36AB" w:rsidRPr="00226D29">
        <w:rPr>
          <w:lang w:val="en-GB"/>
        </w:rPr>
        <w:t xml:space="preserve">any </w:t>
      </w:r>
      <w:r w:rsidRPr="00226D29">
        <w:rPr>
          <w:lang w:val="en-GB"/>
        </w:rPr>
        <w:t>HSE</w:t>
      </w:r>
      <w:r w:rsidR="008C36AB">
        <w:rPr>
          <w:lang w:val="en-GB"/>
        </w:rPr>
        <w:t xml:space="preserve"> </w:t>
      </w:r>
      <w:r w:rsidRPr="00226D29">
        <w:rPr>
          <w:lang w:val="en-GB"/>
        </w:rPr>
        <w:t>secured 414,777 million euro</w:t>
      </w:r>
      <w:r w:rsidR="00530078">
        <w:rPr>
          <w:lang w:val="en-GB"/>
        </w:rPr>
        <w:t>s</w:t>
      </w:r>
      <w:r w:rsidRPr="00226D29">
        <w:rPr>
          <w:lang w:val="en-GB"/>
        </w:rPr>
        <w:t xml:space="preserve"> for the </w:t>
      </w:r>
      <w:r w:rsidR="0009191A">
        <w:rPr>
          <w:lang w:val="en-GB"/>
        </w:rPr>
        <w:t>b</w:t>
      </w:r>
      <w:r w:rsidRPr="00226D29">
        <w:rPr>
          <w:lang w:val="en-GB"/>
        </w:rPr>
        <w:t xml:space="preserve">lock 6 </w:t>
      </w:r>
      <w:r w:rsidR="0094708E" w:rsidRPr="00226D29">
        <w:rPr>
          <w:lang w:val="en-GB"/>
        </w:rPr>
        <w:t>i</w:t>
      </w:r>
      <w:r w:rsidR="00403C3E" w:rsidRPr="00403C3E">
        <w:rPr>
          <w:lang w:val="en-GB"/>
        </w:rPr>
        <w:t>nvest</w:t>
      </w:r>
      <w:r w:rsidRPr="00226D29">
        <w:rPr>
          <w:lang w:val="en-GB"/>
        </w:rPr>
        <w:t>m</w:t>
      </w:r>
      <w:r w:rsidR="00403C3E">
        <w:rPr>
          <w:lang w:val="en-GB"/>
        </w:rPr>
        <w:t>e</w:t>
      </w:r>
      <w:r w:rsidRPr="00226D29">
        <w:rPr>
          <w:lang w:val="en-GB"/>
        </w:rPr>
        <w:t xml:space="preserve">nt by </w:t>
      </w:r>
      <w:r w:rsidR="0094708E" w:rsidRPr="00226D29">
        <w:rPr>
          <w:lang w:val="en-GB"/>
        </w:rPr>
        <w:t xml:space="preserve">additional </w:t>
      </w:r>
      <w:r w:rsidRPr="00226D29">
        <w:rPr>
          <w:lang w:val="en-GB"/>
        </w:rPr>
        <w:t>cap</w:t>
      </w:r>
      <w:r w:rsidR="00403C3E">
        <w:rPr>
          <w:lang w:val="en-GB"/>
        </w:rPr>
        <w:t>i</w:t>
      </w:r>
      <w:r w:rsidRPr="00226D29">
        <w:rPr>
          <w:lang w:val="en-GB"/>
        </w:rPr>
        <w:t xml:space="preserve">talisation of the TEŠ company and </w:t>
      </w:r>
      <w:r w:rsidR="0094708E" w:rsidRPr="00226D29">
        <w:rPr>
          <w:lang w:val="en-GB"/>
        </w:rPr>
        <w:t xml:space="preserve">by </w:t>
      </w:r>
      <w:r w:rsidRPr="00226D29">
        <w:rPr>
          <w:lang w:val="en-GB"/>
        </w:rPr>
        <w:t>cont</w:t>
      </w:r>
      <w:r w:rsidR="0094708E" w:rsidRPr="00226D29">
        <w:rPr>
          <w:lang w:val="en-GB"/>
        </w:rPr>
        <w:t>r</w:t>
      </w:r>
      <w:r w:rsidRPr="00226D29">
        <w:rPr>
          <w:lang w:val="en-GB"/>
        </w:rPr>
        <w:t>acting a debt, which is 13,275 mi</w:t>
      </w:r>
      <w:r w:rsidR="004B64AC" w:rsidRPr="00226D29">
        <w:rPr>
          <w:lang w:val="en-GB"/>
        </w:rPr>
        <w:t xml:space="preserve">llion </w:t>
      </w:r>
      <w:r w:rsidR="004D2510">
        <w:rPr>
          <w:lang w:val="en-GB"/>
        </w:rPr>
        <w:t xml:space="preserve">euros </w:t>
      </w:r>
      <w:r w:rsidR="004B64AC" w:rsidRPr="00226D29">
        <w:rPr>
          <w:lang w:val="en-GB"/>
        </w:rPr>
        <w:t>more tha</w:t>
      </w:r>
      <w:r w:rsidR="0094708E" w:rsidRPr="00226D29">
        <w:rPr>
          <w:lang w:val="en-GB"/>
        </w:rPr>
        <w:t>n</w:t>
      </w:r>
      <w:r w:rsidR="004B64AC" w:rsidRPr="00226D29">
        <w:rPr>
          <w:lang w:val="en-GB"/>
        </w:rPr>
        <w:t xml:space="preserve"> envisaged in the Novel Investment Programme, 6th revision. </w:t>
      </w:r>
      <w:r w:rsidR="00347126" w:rsidRPr="00226D29">
        <w:rPr>
          <w:lang w:val="en-GB"/>
        </w:rPr>
        <w:t>Having had established good flow of financi</w:t>
      </w:r>
      <w:r w:rsidR="00403C3E">
        <w:rPr>
          <w:lang w:val="en-GB"/>
        </w:rPr>
        <w:t>a</w:t>
      </w:r>
      <w:r w:rsidR="00347126" w:rsidRPr="00226D29">
        <w:rPr>
          <w:lang w:val="en-GB"/>
        </w:rPr>
        <w:t>l inf</w:t>
      </w:r>
      <w:r w:rsidR="0094708E" w:rsidRPr="00226D29">
        <w:rPr>
          <w:lang w:val="en-GB"/>
        </w:rPr>
        <w:t>o</w:t>
      </w:r>
      <w:r w:rsidR="00347126" w:rsidRPr="00226D29">
        <w:rPr>
          <w:lang w:val="en-GB"/>
        </w:rPr>
        <w:t>rmation within the HSE group the</w:t>
      </w:r>
      <w:r w:rsidR="0009191A">
        <w:rPr>
          <w:lang w:val="en-GB"/>
        </w:rPr>
        <w:t xml:space="preserve"> company </w:t>
      </w:r>
      <w:r w:rsidR="00347126" w:rsidRPr="00226D29">
        <w:rPr>
          <w:lang w:val="en-GB"/>
        </w:rPr>
        <w:t>HS</w:t>
      </w:r>
      <w:r w:rsidR="00170BB7">
        <w:rPr>
          <w:lang w:val="en-GB"/>
        </w:rPr>
        <w:t xml:space="preserve">E was </w:t>
      </w:r>
      <w:r w:rsidR="0094708E" w:rsidRPr="00226D29">
        <w:rPr>
          <w:lang w:val="en-GB"/>
        </w:rPr>
        <w:t>able to manage its</w:t>
      </w:r>
      <w:r w:rsidR="00347126" w:rsidRPr="00226D29">
        <w:rPr>
          <w:lang w:val="en-GB"/>
        </w:rPr>
        <w:t xml:space="preserve"> liquidi</w:t>
      </w:r>
      <w:r w:rsidR="00403C3E">
        <w:rPr>
          <w:lang w:val="en-GB"/>
        </w:rPr>
        <w:t>t</w:t>
      </w:r>
      <w:r w:rsidR="00347126" w:rsidRPr="00226D29">
        <w:rPr>
          <w:lang w:val="en-GB"/>
        </w:rPr>
        <w:t>y risk</w:t>
      </w:r>
      <w:r w:rsidR="0094708E" w:rsidRPr="00226D29">
        <w:rPr>
          <w:lang w:val="en-GB"/>
        </w:rPr>
        <w:t>s</w:t>
      </w:r>
      <w:r w:rsidR="00170BB7">
        <w:rPr>
          <w:lang w:val="en-GB"/>
        </w:rPr>
        <w:t xml:space="preserve"> nevertheless</w:t>
      </w:r>
      <w:r w:rsidR="00347126" w:rsidRPr="00226D29">
        <w:rPr>
          <w:lang w:val="en-GB"/>
        </w:rPr>
        <w:t xml:space="preserve">. In order to timely secure own financing resources for the </w:t>
      </w:r>
      <w:r w:rsidR="0058108F">
        <w:rPr>
          <w:lang w:val="en-GB"/>
        </w:rPr>
        <w:t>b</w:t>
      </w:r>
      <w:r w:rsidR="00347126" w:rsidRPr="00226D29">
        <w:rPr>
          <w:lang w:val="en-GB"/>
        </w:rPr>
        <w:t xml:space="preserve">lock 6 investment the HSE company has taken up a loan and sold </w:t>
      </w:r>
      <w:r w:rsidR="00527F9D" w:rsidRPr="00226D29">
        <w:rPr>
          <w:lang w:val="en-GB"/>
        </w:rPr>
        <w:t>an equity share in one of th</w:t>
      </w:r>
      <w:r w:rsidR="00347126" w:rsidRPr="00226D29">
        <w:rPr>
          <w:lang w:val="en-GB"/>
        </w:rPr>
        <w:t>e</w:t>
      </w:r>
      <w:r w:rsidR="00527F9D" w:rsidRPr="00226D29">
        <w:rPr>
          <w:lang w:val="en-GB"/>
        </w:rPr>
        <w:t xml:space="preserve"> </w:t>
      </w:r>
      <w:r w:rsidR="00347126" w:rsidRPr="00226D29">
        <w:rPr>
          <w:lang w:val="en-GB"/>
        </w:rPr>
        <w:t>companies in total</w:t>
      </w:r>
      <w:r w:rsidR="00527F9D" w:rsidRPr="00226D29">
        <w:rPr>
          <w:lang w:val="en-GB"/>
        </w:rPr>
        <w:t xml:space="preserve"> </w:t>
      </w:r>
      <w:r w:rsidR="00347126" w:rsidRPr="00226D29">
        <w:rPr>
          <w:lang w:val="en-GB"/>
        </w:rPr>
        <w:t>amou</w:t>
      </w:r>
      <w:r w:rsidR="00527F9D" w:rsidRPr="00226D29">
        <w:rPr>
          <w:lang w:val="en-GB"/>
        </w:rPr>
        <w:t>n</w:t>
      </w:r>
      <w:r w:rsidR="00347126" w:rsidRPr="00226D29">
        <w:rPr>
          <w:lang w:val="en-GB"/>
        </w:rPr>
        <w:t>t of 218,711 million</w:t>
      </w:r>
      <w:r w:rsidR="008C34D3">
        <w:rPr>
          <w:lang w:val="en-GB"/>
        </w:rPr>
        <w:t xml:space="preserve">. </w:t>
      </w:r>
      <w:r w:rsidR="00170BB7">
        <w:rPr>
          <w:lang w:val="en-GB"/>
        </w:rPr>
        <w:t>T</w:t>
      </w:r>
      <w:r w:rsidR="00347126" w:rsidRPr="00226D29">
        <w:rPr>
          <w:lang w:val="en-GB"/>
        </w:rPr>
        <w:t>hese</w:t>
      </w:r>
      <w:r w:rsidR="008C34D3">
        <w:rPr>
          <w:lang w:val="en-GB"/>
        </w:rPr>
        <w:t xml:space="preserve"> additional</w:t>
      </w:r>
      <w:r w:rsidR="00347126" w:rsidRPr="00226D29">
        <w:rPr>
          <w:lang w:val="en-GB"/>
        </w:rPr>
        <w:t xml:space="preserve"> </w:t>
      </w:r>
      <w:r w:rsidR="00527F9D" w:rsidRPr="00226D29">
        <w:rPr>
          <w:lang w:val="en-GB"/>
        </w:rPr>
        <w:t xml:space="preserve">resources </w:t>
      </w:r>
      <w:r w:rsidR="00347126" w:rsidRPr="00226D29">
        <w:rPr>
          <w:lang w:val="en-GB"/>
        </w:rPr>
        <w:t>o</w:t>
      </w:r>
      <w:r w:rsidR="00527F9D" w:rsidRPr="00226D29">
        <w:rPr>
          <w:lang w:val="en-GB"/>
        </w:rPr>
        <w:t>f</w:t>
      </w:r>
      <w:r w:rsidR="00347126" w:rsidRPr="00226D29">
        <w:rPr>
          <w:lang w:val="en-GB"/>
        </w:rPr>
        <w:t xml:space="preserve"> financing were</w:t>
      </w:r>
      <w:r w:rsidR="00527F9D" w:rsidRPr="00226D29">
        <w:rPr>
          <w:lang w:val="en-GB"/>
        </w:rPr>
        <w:t xml:space="preserve"> not </w:t>
      </w:r>
      <w:r w:rsidR="003533FF">
        <w:rPr>
          <w:lang w:val="en-GB"/>
        </w:rPr>
        <w:t>reflected</w:t>
      </w:r>
      <w:r w:rsidR="00170BB7">
        <w:rPr>
          <w:lang w:val="en-GB"/>
        </w:rPr>
        <w:t xml:space="preserve"> in its business plan and d</w:t>
      </w:r>
      <w:r w:rsidR="00DE6594" w:rsidRPr="00226D29">
        <w:rPr>
          <w:lang w:val="en-GB"/>
        </w:rPr>
        <w:t xml:space="preserve">ue to no control over the risks of poor planning and the actual cash-flow of the </w:t>
      </w:r>
      <w:r w:rsidR="0058108F">
        <w:rPr>
          <w:lang w:val="en-GB"/>
        </w:rPr>
        <w:t>b</w:t>
      </w:r>
      <w:r w:rsidR="00DE6594" w:rsidRPr="00226D29">
        <w:rPr>
          <w:lang w:val="en-GB"/>
        </w:rPr>
        <w:t xml:space="preserve">lock 6 investment the HSE company as well as the HSE group were forced to postpone other planned investments of an estimated value of 838,338 million euros. </w:t>
      </w:r>
    </w:p>
    <w:p w:rsidR="007C04D9" w:rsidRPr="00226D29" w:rsidRDefault="007C04D9" w:rsidP="005C0331">
      <w:pPr>
        <w:pStyle w:val="RStekst"/>
        <w:spacing w:line="360" w:lineRule="auto"/>
        <w:rPr>
          <w:lang w:val="en-GB"/>
        </w:rPr>
      </w:pPr>
    </w:p>
    <w:p w:rsidR="007C04D9" w:rsidRPr="00226D29" w:rsidRDefault="007C04D9" w:rsidP="005C0331">
      <w:pPr>
        <w:pStyle w:val="RStekst"/>
        <w:spacing w:line="360" w:lineRule="auto"/>
        <w:rPr>
          <w:lang w:val="en-GB"/>
        </w:rPr>
      </w:pPr>
    </w:p>
    <w:p w:rsidR="006D1309" w:rsidRPr="00226D29" w:rsidRDefault="00AA5B15" w:rsidP="005C0331">
      <w:pPr>
        <w:pStyle w:val="RStekst"/>
        <w:spacing w:line="360" w:lineRule="auto"/>
        <w:rPr>
          <w:lang w:val="en-GB"/>
        </w:rPr>
      </w:pPr>
      <w:r>
        <w:rPr>
          <w:lang w:val="en-GB"/>
        </w:rPr>
        <w:t>A p</w:t>
      </w:r>
      <w:r w:rsidR="00604D91" w:rsidRPr="00226D29">
        <w:rPr>
          <w:lang w:val="en-GB"/>
        </w:rPr>
        <w:t>ositive financial result of the company TEŠ after the comp</w:t>
      </w:r>
      <w:r w:rsidR="00403C3E">
        <w:rPr>
          <w:lang w:val="en-GB"/>
        </w:rPr>
        <w:t>l</w:t>
      </w:r>
      <w:r w:rsidR="00604D91" w:rsidRPr="00226D29">
        <w:rPr>
          <w:lang w:val="en-GB"/>
        </w:rPr>
        <w:t xml:space="preserve">etion </w:t>
      </w:r>
      <w:r w:rsidR="00403C3E">
        <w:rPr>
          <w:lang w:val="en-GB"/>
        </w:rPr>
        <w:t>o</w:t>
      </w:r>
      <w:r w:rsidR="00604D91" w:rsidRPr="00226D29">
        <w:rPr>
          <w:lang w:val="en-GB"/>
        </w:rPr>
        <w:t xml:space="preserve">f </w:t>
      </w:r>
      <w:r w:rsidR="00403C3E">
        <w:rPr>
          <w:lang w:val="en-GB"/>
        </w:rPr>
        <w:t>t</w:t>
      </w:r>
      <w:r w:rsidR="00604D91" w:rsidRPr="00226D29">
        <w:rPr>
          <w:lang w:val="en-GB"/>
        </w:rPr>
        <w:t>he</w:t>
      </w:r>
      <w:r w:rsidR="00403C3E">
        <w:rPr>
          <w:lang w:val="en-GB"/>
        </w:rPr>
        <w:t xml:space="preserve"> </w:t>
      </w:r>
      <w:r w:rsidR="00604D91" w:rsidRPr="00226D29">
        <w:rPr>
          <w:lang w:val="en-GB"/>
        </w:rPr>
        <w:t>inve</w:t>
      </w:r>
      <w:r w:rsidR="00403C3E">
        <w:rPr>
          <w:lang w:val="en-GB"/>
        </w:rPr>
        <w:t>s</w:t>
      </w:r>
      <w:r w:rsidR="00604D91" w:rsidRPr="00226D29">
        <w:rPr>
          <w:lang w:val="en-GB"/>
        </w:rPr>
        <w:t xml:space="preserve">tment has not been </w:t>
      </w:r>
      <w:r>
        <w:rPr>
          <w:lang w:val="en-GB"/>
        </w:rPr>
        <w:t>accounted for</w:t>
      </w:r>
      <w:r w:rsidR="00604D91" w:rsidRPr="00226D29">
        <w:rPr>
          <w:lang w:val="en-GB"/>
        </w:rPr>
        <w:t xml:space="preserve"> as one</w:t>
      </w:r>
      <w:r w:rsidR="00403C3E" w:rsidRPr="00403C3E">
        <w:rPr>
          <w:lang w:val="en-GB"/>
        </w:rPr>
        <w:t xml:space="preserve"> of the </w:t>
      </w:r>
      <w:r>
        <w:rPr>
          <w:lang w:val="en-GB"/>
        </w:rPr>
        <w:t>vital</w:t>
      </w:r>
      <w:r w:rsidR="00604D91" w:rsidRPr="00226D29">
        <w:rPr>
          <w:lang w:val="en-GB"/>
        </w:rPr>
        <w:t xml:space="preserve"> </w:t>
      </w:r>
      <w:r>
        <w:rPr>
          <w:lang w:val="en-GB"/>
        </w:rPr>
        <w:t xml:space="preserve">elements </w:t>
      </w:r>
      <w:r w:rsidR="00604D91" w:rsidRPr="00226D29">
        <w:rPr>
          <w:lang w:val="en-GB"/>
        </w:rPr>
        <w:t xml:space="preserve">for sound management of the </w:t>
      </w:r>
      <w:r w:rsidR="007E10FA">
        <w:rPr>
          <w:lang w:val="en-GB"/>
        </w:rPr>
        <w:t>b</w:t>
      </w:r>
      <w:r w:rsidR="00604D91" w:rsidRPr="00226D29">
        <w:rPr>
          <w:lang w:val="en-GB"/>
        </w:rPr>
        <w:t>lock 6 investment</w:t>
      </w:r>
      <w:r>
        <w:rPr>
          <w:lang w:val="en-GB"/>
        </w:rPr>
        <w:t xml:space="preserve">. This fact would later have </w:t>
      </w:r>
      <w:r w:rsidR="00604D91" w:rsidRPr="00226D29">
        <w:rPr>
          <w:lang w:val="en-GB"/>
        </w:rPr>
        <w:t>a detrimental effect on the potential for</w:t>
      </w:r>
      <w:r w:rsidR="00403C3E">
        <w:rPr>
          <w:lang w:val="en-GB"/>
        </w:rPr>
        <w:t xml:space="preserve"> the</w:t>
      </w:r>
      <w:r w:rsidR="00604D91" w:rsidRPr="00226D29">
        <w:rPr>
          <w:lang w:val="en-GB"/>
        </w:rPr>
        <w:t xml:space="preserve"> achieve</w:t>
      </w:r>
      <w:r w:rsidR="00403C3E">
        <w:rPr>
          <w:lang w:val="en-GB"/>
        </w:rPr>
        <w:t>me</w:t>
      </w:r>
      <w:r w:rsidR="00604D91" w:rsidRPr="00226D29">
        <w:rPr>
          <w:lang w:val="en-GB"/>
        </w:rPr>
        <w:t>n</w:t>
      </w:r>
      <w:r w:rsidR="00403C3E">
        <w:rPr>
          <w:lang w:val="en-GB"/>
        </w:rPr>
        <w:t>t</w:t>
      </w:r>
      <w:r w:rsidR="00604D91" w:rsidRPr="00226D29">
        <w:rPr>
          <w:lang w:val="en-GB"/>
        </w:rPr>
        <w:t xml:space="preserve"> </w:t>
      </w:r>
      <w:r>
        <w:rPr>
          <w:lang w:val="en-GB"/>
        </w:rPr>
        <w:t xml:space="preserve">of </w:t>
      </w:r>
      <w:r w:rsidR="00604D91" w:rsidRPr="00226D29">
        <w:rPr>
          <w:lang w:val="en-GB"/>
        </w:rPr>
        <w:t>t</w:t>
      </w:r>
      <w:r w:rsidR="00403C3E" w:rsidRPr="00403C3E">
        <w:rPr>
          <w:lang w:val="en-GB"/>
        </w:rPr>
        <w:t xml:space="preserve">he planned financial </w:t>
      </w:r>
      <w:r>
        <w:rPr>
          <w:lang w:val="en-GB"/>
        </w:rPr>
        <w:t>results</w:t>
      </w:r>
      <w:r w:rsidR="00403C3E" w:rsidRPr="00403C3E">
        <w:rPr>
          <w:lang w:val="en-GB"/>
        </w:rPr>
        <w:t xml:space="preserve"> </w:t>
      </w:r>
      <w:r>
        <w:rPr>
          <w:lang w:val="en-GB"/>
        </w:rPr>
        <w:t>o</w:t>
      </w:r>
      <w:r w:rsidR="00403C3E" w:rsidRPr="00403C3E">
        <w:rPr>
          <w:lang w:val="en-GB"/>
        </w:rPr>
        <w:t>f</w:t>
      </w:r>
      <w:r w:rsidR="00604D91" w:rsidRPr="00226D29">
        <w:rPr>
          <w:lang w:val="en-GB"/>
        </w:rPr>
        <w:t xml:space="preserve"> the investment and </w:t>
      </w:r>
      <w:r>
        <w:rPr>
          <w:lang w:val="en-GB"/>
        </w:rPr>
        <w:t xml:space="preserve">on </w:t>
      </w:r>
      <w:r w:rsidR="00604D91" w:rsidRPr="00226D29">
        <w:rPr>
          <w:lang w:val="en-GB"/>
        </w:rPr>
        <w:t xml:space="preserve">securing sufficient cash-flow </w:t>
      </w:r>
      <w:r w:rsidR="00B00F8C">
        <w:rPr>
          <w:lang w:val="en-GB"/>
        </w:rPr>
        <w:t>of</w:t>
      </w:r>
      <w:r w:rsidR="00604D91" w:rsidRPr="00226D29">
        <w:rPr>
          <w:lang w:val="en-GB"/>
        </w:rPr>
        <w:t xml:space="preserve"> the HSE group.</w:t>
      </w:r>
      <w:r w:rsidR="00205682" w:rsidRPr="00226D29">
        <w:rPr>
          <w:lang w:val="en-GB"/>
        </w:rPr>
        <w:t xml:space="preserve"> As it has been establish</w:t>
      </w:r>
      <w:r w:rsidR="00403C3E">
        <w:rPr>
          <w:lang w:val="en-GB"/>
        </w:rPr>
        <w:t>e</w:t>
      </w:r>
      <w:r w:rsidR="00205682" w:rsidRPr="00226D29">
        <w:rPr>
          <w:lang w:val="en-GB"/>
        </w:rPr>
        <w:t>d tha</w:t>
      </w:r>
      <w:r w:rsidR="00403C3E">
        <w:rPr>
          <w:lang w:val="en-GB"/>
        </w:rPr>
        <w:t>t</w:t>
      </w:r>
      <w:r w:rsidR="00205682" w:rsidRPr="00226D29">
        <w:rPr>
          <w:lang w:val="en-GB"/>
        </w:rPr>
        <w:t xml:space="preserve"> the final sale price of the electricity and purchase prices of coal as planned in the Nove</w:t>
      </w:r>
      <w:r w:rsidR="00403C3E">
        <w:rPr>
          <w:lang w:val="en-GB"/>
        </w:rPr>
        <w:t>l</w:t>
      </w:r>
      <w:r w:rsidR="00205682" w:rsidRPr="00226D29">
        <w:rPr>
          <w:lang w:val="en-GB"/>
        </w:rPr>
        <w:t xml:space="preserve"> I</w:t>
      </w:r>
      <w:r w:rsidR="00403C3E">
        <w:rPr>
          <w:lang w:val="en-GB"/>
        </w:rPr>
        <w:t>n</w:t>
      </w:r>
      <w:r w:rsidR="00205682" w:rsidRPr="00226D29">
        <w:rPr>
          <w:lang w:val="en-GB"/>
        </w:rPr>
        <w:t>ve</w:t>
      </w:r>
      <w:r w:rsidR="00403C3E">
        <w:rPr>
          <w:lang w:val="en-GB"/>
        </w:rPr>
        <w:t>s</w:t>
      </w:r>
      <w:r w:rsidR="00205682" w:rsidRPr="00226D29">
        <w:rPr>
          <w:lang w:val="en-GB"/>
        </w:rPr>
        <w:t>tment Programme, 6th revision are not realist</w:t>
      </w:r>
      <w:r w:rsidR="00403C3E">
        <w:rPr>
          <w:lang w:val="en-GB"/>
        </w:rPr>
        <w:t>i</w:t>
      </w:r>
      <w:r w:rsidR="00205682" w:rsidRPr="00226D29">
        <w:rPr>
          <w:lang w:val="en-GB"/>
        </w:rPr>
        <w:t xml:space="preserve">c, the planned business results of company TEŠ are not attainable and the risk that TEŠ will not be </w:t>
      </w:r>
      <w:r w:rsidR="00403C3E">
        <w:rPr>
          <w:lang w:val="en-GB"/>
        </w:rPr>
        <w:t>a</w:t>
      </w:r>
      <w:r w:rsidR="00205682" w:rsidRPr="00226D29">
        <w:rPr>
          <w:lang w:val="en-GB"/>
        </w:rPr>
        <w:t>bl</w:t>
      </w:r>
      <w:r w:rsidR="00403C3E">
        <w:rPr>
          <w:lang w:val="en-GB"/>
        </w:rPr>
        <w:t>e</w:t>
      </w:r>
      <w:r w:rsidR="00205682" w:rsidRPr="00226D29">
        <w:rPr>
          <w:lang w:val="en-GB"/>
        </w:rPr>
        <w:t xml:space="preserve"> </w:t>
      </w:r>
      <w:r w:rsidR="00403C3E" w:rsidRPr="00403C3E">
        <w:rPr>
          <w:lang w:val="en-GB"/>
        </w:rPr>
        <w:t>to secure o</w:t>
      </w:r>
      <w:r w:rsidR="00205682" w:rsidRPr="00226D29">
        <w:rPr>
          <w:lang w:val="en-GB"/>
        </w:rPr>
        <w:t>w</w:t>
      </w:r>
      <w:r w:rsidR="00403C3E">
        <w:rPr>
          <w:lang w:val="en-GB"/>
        </w:rPr>
        <w:t>n</w:t>
      </w:r>
      <w:r w:rsidR="00205682" w:rsidRPr="00226D29">
        <w:rPr>
          <w:lang w:val="en-GB"/>
        </w:rPr>
        <w:t xml:space="preserve"> asse</w:t>
      </w:r>
      <w:r w:rsidR="00403C3E" w:rsidRPr="00403C3E">
        <w:rPr>
          <w:lang w:val="en-GB"/>
        </w:rPr>
        <w:t>ts to repay the outs</w:t>
      </w:r>
      <w:r w:rsidR="00205682" w:rsidRPr="00226D29">
        <w:rPr>
          <w:lang w:val="en-GB"/>
        </w:rPr>
        <w:t>t</w:t>
      </w:r>
      <w:r w:rsidR="00403C3E">
        <w:rPr>
          <w:lang w:val="en-GB"/>
        </w:rPr>
        <w:t>a</w:t>
      </w:r>
      <w:r w:rsidR="00205682" w:rsidRPr="00226D29">
        <w:rPr>
          <w:lang w:val="en-GB"/>
        </w:rPr>
        <w:t>n</w:t>
      </w:r>
      <w:r w:rsidR="00403C3E">
        <w:rPr>
          <w:lang w:val="en-GB"/>
        </w:rPr>
        <w:t>d</w:t>
      </w:r>
      <w:r w:rsidR="00205682" w:rsidRPr="00226D29">
        <w:rPr>
          <w:lang w:val="en-GB"/>
        </w:rPr>
        <w:t>ing debt remains.</w:t>
      </w:r>
      <w:r w:rsidR="00403C3E" w:rsidRPr="00403C3E">
        <w:rPr>
          <w:lang w:val="en-GB"/>
        </w:rPr>
        <w:t xml:space="preserve"> This in fact means that the ne</w:t>
      </w:r>
      <w:r w:rsidR="00205682" w:rsidRPr="00226D29">
        <w:rPr>
          <w:lang w:val="en-GB"/>
        </w:rPr>
        <w:t>cessary addition</w:t>
      </w:r>
      <w:r w:rsidR="00403C3E">
        <w:rPr>
          <w:lang w:val="en-GB"/>
        </w:rPr>
        <w:t>a</w:t>
      </w:r>
      <w:r w:rsidR="00205682" w:rsidRPr="00226D29">
        <w:rPr>
          <w:lang w:val="en-GB"/>
        </w:rPr>
        <w:t xml:space="preserve">l </w:t>
      </w:r>
      <w:r w:rsidR="00403C3E">
        <w:rPr>
          <w:lang w:val="en-GB"/>
        </w:rPr>
        <w:t>f</w:t>
      </w:r>
      <w:r w:rsidR="00205682" w:rsidRPr="00226D29">
        <w:rPr>
          <w:lang w:val="en-GB"/>
        </w:rPr>
        <w:t>inancin</w:t>
      </w:r>
      <w:r w:rsidR="00403C3E">
        <w:rPr>
          <w:lang w:val="en-GB"/>
        </w:rPr>
        <w:t>g</w:t>
      </w:r>
      <w:r w:rsidR="00205682" w:rsidRPr="00226D29">
        <w:rPr>
          <w:lang w:val="en-GB"/>
        </w:rPr>
        <w:t xml:space="preserve"> will have t</w:t>
      </w:r>
      <w:r w:rsidR="00403C3E" w:rsidRPr="00403C3E">
        <w:rPr>
          <w:lang w:val="en-GB"/>
        </w:rPr>
        <w:t xml:space="preserve">o be </w:t>
      </w:r>
      <w:r w:rsidR="00205682" w:rsidRPr="00226D29">
        <w:rPr>
          <w:lang w:val="en-GB"/>
        </w:rPr>
        <w:t>p</w:t>
      </w:r>
      <w:r w:rsidR="00403C3E">
        <w:rPr>
          <w:lang w:val="en-GB"/>
        </w:rPr>
        <w:t>r</w:t>
      </w:r>
      <w:r w:rsidR="00205682" w:rsidRPr="00226D29">
        <w:rPr>
          <w:lang w:val="en-GB"/>
        </w:rPr>
        <w:t>ovided by the company HSE a</w:t>
      </w:r>
      <w:r w:rsidR="00403C3E">
        <w:rPr>
          <w:lang w:val="en-GB"/>
        </w:rPr>
        <w:t>n</w:t>
      </w:r>
      <w:r w:rsidR="00205682" w:rsidRPr="00226D29">
        <w:rPr>
          <w:lang w:val="en-GB"/>
        </w:rPr>
        <w:t xml:space="preserve">d HSE group. </w:t>
      </w:r>
    </w:p>
    <w:p w:rsidR="00604D91" w:rsidRPr="00226D29" w:rsidRDefault="00604D91" w:rsidP="005C0331">
      <w:pPr>
        <w:pStyle w:val="RStekst"/>
        <w:spacing w:line="360" w:lineRule="auto"/>
        <w:rPr>
          <w:lang w:val="en-GB"/>
        </w:rPr>
      </w:pPr>
    </w:p>
    <w:p w:rsidR="007E5CFB" w:rsidRPr="00226D29" w:rsidRDefault="00417F13" w:rsidP="005C0331">
      <w:pPr>
        <w:pStyle w:val="RStekst"/>
        <w:spacing w:line="360" w:lineRule="auto"/>
        <w:rPr>
          <w:lang w:val="en-GB"/>
        </w:rPr>
      </w:pPr>
      <w:r>
        <w:rPr>
          <w:lang w:val="en-GB"/>
        </w:rPr>
        <w:t>With t</w:t>
      </w:r>
      <w:r w:rsidR="007E5CFB" w:rsidRPr="00226D29">
        <w:rPr>
          <w:lang w:val="en-GB"/>
        </w:rPr>
        <w:t xml:space="preserve">he difference </w:t>
      </w:r>
      <w:r w:rsidRPr="00226D29">
        <w:rPr>
          <w:lang w:val="en-GB"/>
        </w:rPr>
        <w:t xml:space="preserve">of 125,965 million euro </w:t>
      </w:r>
      <w:r w:rsidR="007E5CFB" w:rsidRPr="00226D29">
        <w:rPr>
          <w:lang w:val="en-GB"/>
        </w:rPr>
        <w:t>in the est</w:t>
      </w:r>
      <w:r w:rsidR="00403C3E">
        <w:rPr>
          <w:lang w:val="en-GB"/>
        </w:rPr>
        <w:t>i</w:t>
      </w:r>
      <w:r w:rsidR="007E5CFB" w:rsidRPr="00226D29">
        <w:rPr>
          <w:lang w:val="en-GB"/>
        </w:rPr>
        <w:t>mated value of the inve</w:t>
      </w:r>
      <w:r w:rsidR="00403C3E">
        <w:rPr>
          <w:lang w:val="en-GB"/>
        </w:rPr>
        <w:t>s</w:t>
      </w:r>
      <w:r w:rsidR="007E5CFB" w:rsidRPr="00226D29">
        <w:rPr>
          <w:lang w:val="en-GB"/>
        </w:rPr>
        <w:t>tm</w:t>
      </w:r>
      <w:r w:rsidR="00403C3E">
        <w:rPr>
          <w:lang w:val="en-GB"/>
        </w:rPr>
        <w:t>en</w:t>
      </w:r>
      <w:r w:rsidR="007E5CFB" w:rsidRPr="00226D29">
        <w:rPr>
          <w:lang w:val="en-GB"/>
        </w:rPr>
        <w:t>t between th</w:t>
      </w:r>
      <w:r w:rsidR="00403C3E">
        <w:rPr>
          <w:lang w:val="en-GB"/>
        </w:rPr>
        <w:t>e</w:t>
      </w:r>
      <w:r w:rsidR="007E5CFB" w:rsidRPr="00226D29">
        <w:rPr>
          <w:lang w:val="en-GB"/>
        </w:rPr>
        <w:t xml:space="preserve"> 5th and the 6th revision of the Novel Investment Programme</w:t>
      </w:r>
      <w:r>
        <w:rPr>
          <w:lang w:val="en-GB"/>
        </w:rPr>
        <w:t xml:space="preserve"> the total investment</w:t>
      </w:r>
      <w:r w:rsidR="007E5CFB" w:rsidRPr="00226D29">
        <w:rPr>
          <w:lang w:val="en-GB"/>
        </w:rPr>
        <w:t xml:space="preserve"> amounts to 1, 428 billion euros</w:t>
      </w:r>
      <w:r w:rsidR="0091512D" w:rsidRPr="00226D29">
        <w:rPr>
          <w:lang w:val="en-GB"/>
        </w:rPr>
        <w:t xml:space="preserve"> and exceeds the ceiling determined in the </w:t>
      </w:r>
      <w:r w:rsidR="00C34BE3">
        <w:rPr>
          <w:lang w:val="en-GB"/>
        </w:rPr>
        <w:t>Act on the guaranty of the Republic of Slovenia for the long-t</w:t>
      </w:r>
      <w:r w:rsidR="007F3D0F">
        <w:rPr>
          <w:lang w:val="en-GB"/>
        </w:rPr>
        <w:t>e</w:t>
      </w:r>
      <w:r w:rsidR="00C34BE3">
        <w:rPr>
          <w:lang w:val="en-GB"/>
        </w:rPr>
        <w:t>rm loan of TEŠ</w:t>
      </w:r>
      <w:r w:rsidR="0091512D" w:rsidRPr="00226D29">
        <w:rPr>
          <w:lang w:val="en-GB"/>
        </w:rPr>
        <w:t xml:space="preserve">. The State has namely agreed to step in as a guarantor for the 440 million long-term loan </w:t>
      </w:r>
      <w:r w:rsidR="000D599C" w:rsidRPr="00226D29">
        <w:rPr>
          <w:lang w:val="en-GB"/>
        </w:rPr>
        <w:t>comp</w:t>
      </w:r>
      <w:r w:rsidR="000D599C">
        <w:rPr>
          <w:lang w:val="en-GB"/>
        </w:rPr>
        <w:t>a</w:t>
      </w:r>
      <w:r w:rsidR="000D599C" w:rsidRPr="00226D29">
        <w:rPr>
          <w:lang w:val="en-GB"/>
        </w:rPr>
        <w:t>ny</w:t>
      </w:r>
      <w:r w:rsidR="000D599C" w:rsidRPr="00226D29" w:rsidDel="000D599C">
        <w:rPr>
          <w:lang w:val="en-GB"/>
        </w:rPr>
        <w:t xml:space="preserve"> </w:t>
      </w:r>
      <w:r w:rsidR="0091512D" w:rsidRPr="00226D29">
        <w:rPr>
          <w:lang w:val="en-GB"/>
        </w:rPr>
        <w:t>TEŠ wou</w:t>
      </w:r>
      <w:r w:rsidR="00403C3E">
        <w:rPr>
          <w:lang w:val="en-GB"/>
        </w:rPr>
        <w:t>l</w:t>
      </w:r>
      <w:r w:rsidR="0091512D" w:rsidRPr="00226D29">
        <w:rPr>
          <w:lang w:val="en-GB"/>
        </w:rPr>
        <w:t>d</w:t>
      </w:r>
      <w:r w:rsidR="00403C3E" w:rsidRPr="00403C3E">
        <w:rPr>
          <w:lang w:val="en-GB"/>
        </w:rPr>
        <w:t xml:space="preserve"> contract to with the Europ</w:t>
      </w:r>
      <w:r w:rsidR="0091512D" w:rsidRPr="00226D29">
        <w:rPr>
          <w:lang w:val="en-GB"/>
        </w:rPr>
        <w:t>e</w:t>
      </w:r>
      <w:r w:rsidR="00403C3E">
        <w:rPr>
          <w:lang w:val="en-GB"/>
        </w:rPr>
        <w:t>a</w:t>
      </w:r>
      <w:r w:rsidR="0091512D" w:rsidRPr="00226D29">
        <w:rPr>
          <w:lang w:val="en-GB"/>
        </w:rPr>
        <w:t xml:space="preserve">n Investment Bank under the condition that </w:t>
      </w:r>
      <w:r w:rsidR="000D599C">
        <w:rPr>
          <w:lang w:val="en-GB"/>
        </w:rPr>
        <w:t xml:space="preserve">the </w:t>
      </w:r>
      <w:r w:rsidR="0091512D" w:rsidRPr="00226D29">
        <w:rPr>
          <w:lang w:val="en-GB"/>
        </w:rPr>
        <w:t>total value of the inve</w:t>
      </w:r>
      <w:r w:rsidR="00403C3E">
        <w:rPr>
          <w:lang w:val="en-GB"/>
        </w:rPr>
        <w:t>s</w:t>
      </w:r>
      <w:r w:rsidR="0091512D" w:rsidRPr="00226D29">
        <w:rPr>
          <w:lang w:val="en-GB"/>
        </w:rPr>
        <w:t>tment does not exceed 1,302 billion euros.</w:t>
      </w:r>
      <w:r w:rsidR="00591A36" w:rsidRPr="00226D29">
        <w:rPr>
          <w:lang w:val="en-GB"/>
        </w:rPr>
        <w:t xml:space="preserve"> Such chang</w:t>
      </w:r>
      <w:r w:rsidR="00403C3E">
        <w:rPr>
          <w:lang w:val="en-GB"/>
        </w:rPr>
        <w:t>e</w:t>
      </w:r>
      <w:r w:rsidR="00591A36" w:rsidRPr="00226D29">
        <w:rPr>
          <w:lang w:val="en-GB"/>
        </w:rPr>
        <w:t xml:space="preserve">s in the </w:t>
      </w:r>
      <w:r w:rsidR="00403C3E" w:rsidRPr="00403C3E">
        <w:rPr>
          <w:lang w:val="en-GB"/>
        </w:rPr>
        <w:t>man</w:t>
      </w:r>
      <w:r w:rsidR="00403C3E">
        <w:rPr>
          <w:lang w:val="en-GB"/>
        </w:rPr>
        <w:t>a</w:t>
      </w:r>
      <w:r w:rsidR="00591A36" w:rsidRPr="00226D29">
        <w:rPr>
          <w:lang w:val="en-GB"/>
        </w:rPr>
        <w:t>g</w:t>
      </w:r>
      <w:r w:rsidR="00403C3E">
        <w:rPr>
          <w:lang w:val="en-GB"/>
        </w:rPr>
        <w:t>e</w:t>
      </w:r>
      <w:r w:rsidR="00591A36" w:rsidRPr="00226D29">
        <w:rPr>
          <w:lang w:val="en-GB"/>
        </w:rPr>
        <w:t>me</w:t>
      </w:r>
      <w:r w:rsidR="00403C3E">
        <w:rPr>
          <w:lang w:val="en-GB"/>
        </w:rPr>
        <w:t>n</w:t>
      </w:r>
      <w:r w:rsidR="00591A36" w:rsidRPr="00226D29">
        <w:rPr>
          <w:lang w:val="en-GB"/>
        </w:rPr>
        <w:t>t of the inve</w:t>
      </w:r>
      <w:r w:rsidR="00403C3E">
        <w:rPr>
          <w:lang w:val="en-GB"/>
        </w:rPr>
        <w:t>s</w:t>
      </w:r>
      <w:r w:rsidR="00591A36" w:rsidRPr="00226D29">
        <w:rPr>
          <w:lang w:val="en-GB"/>
        </w:rPr>
        <w:t>tment led to the conclusion that the comp</w:t>
      </w:r>
      <w:r w:rsidR="00403C3E">
        <w:rPr>
          <w:lang w:val="en-GB"/>
        </w:rPr>
        <w:t>a</w:t>
      </w:r>
      <w:r w:rsidR="00591A36" w:rsidRPr="00226D29">
        <w:rPr>
          <w:lang w:val="en-GB"/>
        </w:rPr>
        <w:t>ny HSE failed to meet the criteria on the maximum value of the</w:t>
      </w:r>
      <w:r w:rsidR="00403C3E">
        <w:rPr>
          <w:lang w:val="en-GB"/>
        </w:rPr>
        <w:t xml:space="preserve"> </w:t>
      </w:r>
      <w:r w:rsidR="00591A36" w:rsidRPr="00226D29">
        <w:rPr>
          <w:lang w:val="en-GB"/>
        </w:rPr>
        <w:t>inve</w:t>
      </w:r>
      <w:r w:rsidR="00403C3E">
        <w:rPr>
          <w:lang w:val="en-GB"/>
        </w:rPr>
        <w:t>st</w:t>
      </w:r>
      <w:r w:rsidR="00591A36" w:rsidRPr="00226D29">
        <w:rPr>
          <w:lang w:val="en-GB"/>
        </w:rPr>
        <w:t>m</w:t>
      </w:r>
      <w:r w:rsidR="00403C3E">
        <w:rPr>
          <w:lang w:val="en-GB"/>
        </w:rPr>
        <w:t>e</w:t>
      </w:r>
      <w:r w:rsidR="00591A36" w:rsidRPr="00226D29">
        <w:rPr>
          <w:lang w:val="en-GB"/>
        </w:rPr>
        <w:t>nt in spite some activit</w:t>
      </w:r>
      <w:r w:rsidR="00403C3E">
        <w:rPr>
          <w:lang w:val="en-GB"/>
        </w:rPr>
        <w:t>i</w:t>
      </w:r>
      <w:r w:rsidR="00591A36" w:rsidRPr="00226D29">
        <w:rPr>
          <w:lang w:val="en-GB"/>
        </w:rPr>
        <w:t>es</w:t>
      </w:r>
      <w:r w:rsidR="000D599C">
        <w:rPr>
          <w:lang w:val="en-GB"/>
        </w:rPr>
        <w:t xml:space="preserve"> </w:t>
      </w:r>
      <w:r w:rsidR="00591A36" w:rsidRPr="00226D29">
        <w:rPr>
          <w:lang w:val="en-GB"/>
        </w:rPr>
        <w:t xml:space="preserve">to lower the price of the main technological equipment and its </w:t>
      </w:r>
      <w:r w:rsidR="00591A36" w:rsidRPr="00226D29">
        <w:rPr>
          <w:lang w:val="en-GB"/>
        </w:rPr>
        <w:lastRenderedPageBreak/>
        <w:t>installation.</w:t>
      </w:r>
    </w:p>
    <w:p w:rsidR="006D1309" w:rsidRPr="00226D29" w:rsidRDefault="006D1309" w:rsidP="005C0331">
      <w:pPr>
        <w:pStyle w:val="RStekst"/>
        <w:spacing w:line="360" w:lineRule="auto"/>
        <w:rPr>
          <w:lang w:val="en-GB"/>
        </w:rPr>
      </w:pPr>
    </w:p>
    <w:p w:rsidR="00B52D53" w:rsidRPr="00226D29" w:rsidRDefault="008D28FA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>After analysing the different est</w:t>
      </w:r>
      <w:r w:rsidR="009D4862">
        <w:rPr>
          <w:lang w:val="en-GB"/>
        </w:rPr>
        <w:t>i</w:t>
      </w:r>
      <w:r w:rsidRPr="00226D29">
        <w:rPr>
          <w:lang w:val="en-GB"/>
        </w:rPr>
        <w:t>m</w:t>
      </w:r>
      <w:r w:rsidR="009D4862">
        <w:rPr>
          <w:lang w:val="en-GB"/>
        </w:rPr>
        <w:t>a</w:t>
      </w:r>
      <w:r w:rsidRPr="00226D29">
        <w:rPr>
          <w:lang w:val="en-GB"/>
        </w:rPr>
        <w:t>t</w:t>
      </w:r>
      <w:r w:rsidR="009D4862">
        <w:rPr>
          <w:lang w:val="en-GB"/>
        </w:rPr>
        <w:t>e</w:t>
      </w:r>
      <w:r w:rsidRPr="00226D29">
        <w:rPr>
          <w:lang w:val="en-GB"/>
        </w:rPr>
        <w:t>s of the purchas</w:t>
      </w:r>
      <w:r w:rsidR="009D4862">
        <w:rPr>
          <w:lang w:val="en-GB"/>
        </w:rPr>
        <w:t>e</w:t>
      </w:r>
      <w:r w:rsidRPr="00226D29">
        <w:rPr>
          <w:lang w:val="en-GB"/>
        </w:rPr>
        <w:t xml:space="preserve"> price of coal it can be </w:t>
      </w:r>
      <w:r w:rsidR="009D4862" w:rsidRPr="009D4862">
        <w:rPr>
          <w:lang w:val="en-GB"/>
        </w:rPr>
        <w:t>concluded that com</w:t>
      </w:r>
      <w:r w:rsidRPr="00226D29">
        <w:rPr>
          <w:lang w:val="en-GB"/>
        </w:rPr>
        <w:t>pa</w:t>
      </w:r>
      <w:r w:rsidR="009D4862">
        <w:rPr>
          <w:lang w:val="en-GB"/>
        </w:rPr>
        <w:t>n</w:t>
      </w:r>
      <w:r w:rsidRPr="00226D29">
        <w:rPr>
          <w:lang w:val="en-GB"/>
        </w:rPr>
        <w:t xml:space="preserve">y HSE as majority owner of the Coalmine Velenje did not use its supervisory </w:t>
      </w:r>
      <w:r w:rsidR="003D2048">
        <w:rPr>
          <w:lang w:val="en-GB"/>
        </w:rPr>
        <w:t>powers</w:t>
      </w:r>
      <w:r w:rsidRPr="00226D29">
        <w:rPr>
          <w:lang w:val="en-GB"/>
        </w:rPr>
        <w:t xml:space="preserve"> to provide that planned est</w:t>
      </w:r>
      <w:r w:rsidR="00A61873">
        <w:rPr>
          <w:lang w:val="en-GB"/>
        </w:rPr>
        <w:t>i</w:t>
      </w:r>
      <w:r w:rsidRPr="00226D29">
        <w:rPr>
          <w:lang w:val="en-GB"/>
        </w:rPr>
        <w:t>mated price of coal is met. As this is a vital parameter for the cal</w:t>
      </w:r>
      <w:r w:rsidR="00A61873">
        <w:rPr>
          <w:lang w:val="en-GB"/>
        </w:rPr>
        <w:t>c</w:t>
      </w:r>
      <w:r w:rsidRPr="00226D29">
        <w:rPr>
          <w:lang w:val="en-GB"/>
        </w:rPr>
        <w:t>ul</w:t>
      </w:r>
      <w:r w:rsidR="00A61873" w:rsidRPr="00A61873">
        <w:rPr>
          <w:lang w:val="en-GB"/>
        </w:rPr>
        <w:t>ation o</w:t>
      </w:r>
      <w:r w:rsidR="00A61873">
        <w:rPr>
          <w:lang w:val="en-GB"/>
        </w:rPr>
        <w:t>f</w:t>
      </w:r>
      <w:r w:rsidRPr="00226D29">
        <w:rPr>
          <w:lang w:val="en-GB"/>
        </w:rPr>
        <w:t xml:space="preserve"> the financi</w:t>
      </w:r>
      <w:r w:rsidR="00A61873">
        <w:rPr>
          <w:lang w:val="en-GB"/>
        </w:rPr>
        <w:t>a</w:t>
      </w:r>
      <w:r w:rsidRPr="00226D29">
        <w:rPr>
          <w:lang w:val="en-GB"/>
        </w:rPr>
        <w:t xml:space="preserve">l </w:t>
      </w:r>
      <w:r w:rsidR="008224C2" w:rsidRPr="00226D29">
        <w:rPr>
          <w:lang w:val="en-GB"/>
        </w:rPr>
        <w:t>result</w:t>
      </w:r>
      <w:r w:rsidRPr="00226D29">
        <w:rPr>
          <w:lang w:val="en-GB"/>
        </w:rPr>
        <w:t xml:space="preserve"> of the</w:t>
      </w:r>
      <w:r w:rsidR="008224C2" w:rsidRPr="00226D29">
        <w:rPr>
          <w:lang w:val="en-GB"/>
        </w:rPr>
        <w:t xml:space="preserve"> </w:t>
      </w:r>
      <w:r w:rsidRPr="00226D29">
        <w:rPr>
          <w:lang w:val="en-GB"/>
        </w:rPr>
        <w:t>oper</w:t>
      </w:r>
      <w:r w:rsidR="008224C2" w:rsidRPr="00226D29">
        <w:rPr>
          <w:lang w:val="en-GB"/>
        </w:rPr>
        <w:t>a</w:t>
      </w:r>
      <w:r w:rsidRPr="00226D29">
        <w:rPr>
          <w:lang w:val="en-GB"/>
        </w:rPr>
        <w:t xml:space="preserve">ting of </w:t>
      </w:r>
      <w:r w:rsidR="003D2048">
        <w:rPr>
          <w:lang w:val="en-GB"/>
        </w:rPr>
        <w:t>b</w:t>
      </w:r>
      <w:r w:rsidRPr="00226D29">
        <w:rPr>
          <w:lang w:val="en-GB"/>
        </w:rPr>
        <w:t xml:space="preserve">lock 6, </w:t>
      </w:r>
      <w:r w:rsidR="009B40E9">
        <w:rPr>
          <w:lang w:val="en-GB"/>
        </w:rPr>
        <w:t xml:space="preserve">it amounts to </w:t>
      </w:r>
      <w:r w:rsidRPr="00226D29">
        <w:rPr>
          <w:lang w:val="en-GB"/>
        </w:rPr>
        <w:t xml:space="preserve">the second criteria from the </w:t>
      </w:r>
      <w:r w:rsidR="00867227">
        <w:rPr>
          <w:lang w:val="en-GB"/>
        </w:rPr>
        <w:t>A</w:t>
      </w:r>
      <w:r w:rsidR="00FB5067">
        <w:rPr>
          <w:lang w:val="en-GB"/>
        </w:rPr>
        <w:t xml:space="preserve">ct on the guaranty </w:t>
      </w:r>
      <w:r w:rsidR="00134591">
        <w:rPr>
          <w:lang w:val="en-GB"/>
        </w:rPr>
        <w:t xml:space="preserve">not </w:t>
      </w:r>
      <w:r w:rsidRPr="00226D29">
        <w:rPr>
          <w:lang w:val="en-GB"/>
        </w:rPr>
        <w:t>be</w:t>
      </w:r>
      <w:r w:rsidR="00134591">
        <w:rPr>
          <w:lang w:val="en-GB"/>
        </w:rPr>
        <w:t>i</w:t>
      </w:r>
      <w:r w:rsidRPr="00226D29">
        <w:rPr>
          <w:lang w:val="en-GB"/>
        </w:rPr>
        <w:t>n</w:t>
      </w:r>
      <w:r w:rsidR="00240F4B">
        <w:rPr>
          <w:lang w:val="en-GB"/>
        </w:rPr>
        <w:t>g</w:t>
      </w:r>
      <w:r w:rsidRPr="00226D29">
        <w:rPr>
          <w:lang w:val="en-GB"/>
        </w:rPr>
        <w:t xml:space="preserve"> met by the investor. </w:t>
      </w:r>
    </w:p>
    <w:p w:rsidR="008D28FA" w:rsidRPr="00226D29" w:rsidRDefault="008D28FA" w:rsidP="005C0331">
      <w:pPr>
        <w:pStyle w:val="RStekst"/>
        <w:spacing w:line="360" w:lineRule="auto"/>
        <w:rPr>
          <w:lang w:val="en-GB"/>
        </w:rPr>
      </w:pPr>
    </w:p>
    <w:p w:rsidR="00B52D53" w:rsidRPr="00226D29" w:rsidRDefault="0069175E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>F</w:t>
      </w:r>
      <w:r w:rsidR="00683A3F" w:rsidRPr="00226D29">
        <w:rPr>
          <w:lang w:val="en-GB"/>
        </w:rPr>
        <w:t>rom comparing the different est</w:t>
      </w:r>
      <w:r w:rsidR="00B71976" w:rsidRPr="00226D29">
        <w:rPr>
          <w:lang w:val="en-GB"/>
        </w:rPr>
        <w:t xml:space="preserve">imates of the future </w:t>
      </w:r>
      <w:r w:rsidR="00683A3F" w:rsidRPr="00226D29">
        <w:rPr>
          <w:lang w:val="en-GB"/>
        </w:rPr>
        <w:t>prices of electricity it</w:t>
      </w:r>
      <w:r w:rsidR="00C976EA" w:rsidRPr="00226D29">
        <w:rPr>
          <w:lang w:val="en-GB"/>
        </w:rPr>
        <w:t xml:space="preserve"> can be concluded</w:t>
      </w:r>
      <w:r w:rsidR="00683A3F" w:rsidRPr="00226D29">
        <w:rPr>
          <w:lang w:val="en-GB"/>
        </w:rPr>
        <w:t xml:space="preserve"> that the risk of not </w:t>
      </w:r>
      <w:r w:rsidR="00A72EB5" w:rsidRPr="00A72EB5">
        <w:rPr>
          <w:lang w:val="en-GB"/>
        </w:rPr>
        <w:t>ach</w:t>
      </w:r>
      <w:r w:rsidR="00A72EB5">
        <w:rPr>
          <w:lang w:val="en-GB"/>
        </w:rPr>
        <w:t>ie</w:t>
      </w:r>
      <w:r w:rsidR="00683A3F" w:rsidRPr="00226D29">
        <w:rPr>
          <w:lang w:val="en-GB"/>
        </w:rPr>
        <w:t>v</w:t>
      </w:r>
      <w:r w:rsidR="00A72EB5">
        <w:rPr>
          <w:lang w:val="en-GB"/>
        </w:rPr>
        <w:t>i</w:t>
      </w:r>
      <w:r w:rsidR="00683A3F" w:rsidRPr="00226D29">
        <w:rPr>
          <w:lang w:val="en-GB"/>
        </w:rPr>
        <w:t>ng the prices used in calculations of the final result o</w:t>
      </w:r>
      <w:r w:rsidR="00A72EB5">
        <w:rPr>
          <w:lang w:val="en-GB"/>
        </w:rPr>
        <w:t>f</w:t>
      </w:r>
      <w:r w:rsidR="00683A3F" w:rsidRPr="00226D29">
        <w:rPr>
          <w:lang w:val="en-GB"/>
        </w:rPr>
        <w:t xml:space="preserve"> the operation of </w:t>
      </w:r>
      <w:r w:rsidR="00DF5D95">
        <w:rPr>
          <w:lang w:val="en-GB"/>
        </w:rPr>
        <w:t>b</w:t>
      </w:r>
      <w:r w:rsidR="00683A3F" w:rsidRPr="00226D29">
        <w:rPr>
          <w:lang w:val="en-GB"/>
        </w:rPr>
        <w:t>loc</w:t>
      </w:r>
      <w:r w:rsidR="00C976EA" w:rsidRPr="00226D29">
        <w:rPr>
          <w:lang w:val="en-GB"/>
        </w:rPr>
        <w:t>k</w:t>
      </w:r>
      <w:r w:rsidR="00683A3F" w:rsidRPr="00226D29">
        <w:rPr>
          <w:lang w:val="en-GB"/>
        </w:rPr>
        <w:t xml:space="preserve"> 6 </w:t>
      </w:r>
      <w:r w:rsidR="006B0D89" w:rsidRPr="00226D29">
        <w:rPr>
          <w:lang w:val="en-GB"/>
        </w:rPr>
        <w:t xml:space="preserve">remains </w:t>
      </w:r>
      <w:r w:rsidR="00D905F5">
        <w:rPr>
          <w:lang w:val="en-GB"/>
        </w:rPr>
        <w:t>out of control of the HSE</w:t>
      </w:r>
      <w:r w:rsidR="006B0D89" w:rsidRPr="00226D29">
        <w:rPr>
          <w:lang w:val="en-GB"/>
        </w:rPr>
        <w:t>.</w:t>
      </w:r>
      <w:r w:rsidRPr="00226D29">
        <w:rPr>
          <w:lang w:val="en-GB"/>
        </w:rPr>
        <w:t xml:space="preserve"> There is also a risk that additional planned income from the </w:t>
      </w:r>
      <w:r w:rsidR="00A72A9B" w:rsidRPr="00226D29">
        <w:rPr>
          <w:lang w:val="en-GB"/>
        </w:rPr>
        <w:t>lease of ca</w:t>
      </w:r>
      <w:r w:rsidRPr="00226D29">
        <w:rPr>
          <w:lang w:val="en-GB"/>
        </w:rPr>
        <w:t>p</w:t>
      </w:r>
      <w:r w:rsidR="00A72A9B" w:rsidRPr="00226D29">
        <w:rPr>
          <w:lang w:val="en-GB"/>
        </w:rPr>
        <w:t>acity for provision of</w:t>
      </w:r>
      <w:r w:rsidRPr="00226D29">
        <w:rPr>
          <w:lang w:val="en-GB"/>
        </w:rPr>
        <w:t xml:space="preserve"> systemic services in the electricity supply chain will not be generated in the operational period in the amount envisaged.</w:t>
      </w:r>
    </w:p>
    <w:p w:rsidR="008224C2" w:rsidRPr="00226D29" w:rsidRDefault="008224C2" w:rsidP="005C0331">
      <w:pPr>
        <w:pStyle w:val="RStekst"/>
        <w:spacing w:line="360" w:lineRule="auto"/>
        <w:rPr>
          <w:lang w:val="en-GB"/>
        </w:rPr>
      </w:pPr>
    </w:p>
    <w:p w:rsidR="00933D04" w:rsidRPr="00226D29" w:rsidRDefault="00AD32C1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>Slovenian Sover</w:t>
      </w:r>
      <w:r w:rsidR="006641DE" w:rsidRPr="00226D29">
        <w:rPr>
          <w:lang w:val="en-GB"/>
        </w:rPr>
        <w:t>ei</w:t>
      </w:r>
      <w:r w:rsidRPr="00226D29">
        <w:rPr>
          <w:lang w:val="en-GB"/>
        </w:rPr>
        <w:t xml:space="preserve">gn Holding </w:t>
      </w:r>
      <w:r w:rsidR="0043589E" w:rsidRPr="00226D29">
        <w:rPr>
          <w:lang w:val="en-GB"/>
        </w:rPr>
        <w:t>(SSH)</w:t>
      </w:r>
      <w:r w:rsidR="00405005">
        <w:rPr>
          <w:lang w:val="en-GB"/>
        </w:rPr>
        <w:t xml:space="preserve">, a central manager of the state-owned companies and asset-portfolio, </w:t>
      </w:r>
      <w:r w:rsidRPr="00226D29">
        <w:rPr>
          <w:lang w:val="en-GB"/>
        </w:rPr>
        <w:t>has by adopting a c</w:t>
      </w:r>
      <w:r w:rsidR="0043589E" w:rsidRPr="00226D29">
        <w:rPr>
          <w:lang w:val="en-GB"/>
        </w:rPr>
        <w:t>ode (</w:t>
      </w:r>
      <w:r w:rsidR="0043589E" w:rsidRPr="004F2699">
        <w:rPr>
          <w:lang w:val="en-GB"/>
        </w:rPr>
        <w:t>Corporate Governance Code for Companies with Capital Assets of the State)</w:t>
      </w:r>
      <w:r w:rsidRPr="00226D29">
        <w:rPr>
          <w:lang w:val="en-GB"/>
        </w:rPr>
        <w:t xml:space="preserve"> and recommendations</w:t>
      </w:r>
      <w:r w:rsidR="0043589E" w:rsidRPr="00226D29">
        <w:rPr>
          <w:lang w:val="en-GB"/>
        </w:rPr>
        <w:t xml:space="preserve"> (</w:t>
      </w:r>
      <w:r w:rsidR="0043589E" w:rsidRPr="004F2699">
        <w:rPr>
          <w:lang w:val="en-GB"/>
        </w:rPr>
        <w:t xml:space="preserve">SSH Recommendations and Expectations) </w:t>
      </w:r>
      <w:r w:rsidRPr="00226D29">
        <w:rPr>
          <w:lang w:val="en-GB"/>
        </w:rPr>
        <w:t>provided</w:t>
      </w:r>
      <w:r w:rsidR="006D7FEA" w:rsidRPr="00226D29">
        <w:rPr>
          <w:lang w:val="en-GB"/>
        </w:rPr>
        <w:t xml:space="preserve"> a framework </w:t>
      </w:r>
      <w:r w:rsidR="00415A95" w:rsidRPr="00415A95">
        <w:rPr>
          <w:lang w:val="en-GB"/>
        </w:rPr>
        <w:t>for adequate inf</w:t>
      </w:r>
      <w:r w:rsidRPr="00226D29">
        <w:rPr>
          <w:lang w:val="en-GB"/>
        </w:rPr>
        <w:t>o</w:t>
      </w:r>
      <w:r w:rsidR="00415A95">
        <w:rPr>
          <w:lang w:val="en-GB"/>
        </w:rPr>
        <w:t>r</w:t>
      </w:r>
      <w:r w:rsidRPr="00226D29">
        <w:rPr>
          <w:lang w:val="en-GB"/>
        </w:rPr>
        <w:t>mation on business operation</w:t>
      </w:r>
      <w:r w:rsidR="00415A95">
        <w:rPr>
          <w:lang w:val="en-GB"/>
        </w:rPr>
        <w:t>s</w:t>
      </w:r>
      <w:r w:rsidRPr="00226D29">
        <w:rPr>
          <w:lang w:val="en-GB"/>
        </w:rPr>
        <w:t xml:space="preserve"> of the company and the gro</w:t>
      </w:r>
      <w:r w:rsidR="00415A95">
        <w:rPr>
          <w:lang w:val="en-GB"/>
        </w:rPr>
        <w:t>u</w:t>
      </w:r>
      <w:r w:rsidRPr="00226D29">
        <w:rPr>
          <w:lang w:val="en-GB"/>
        </w:rPr>
        <w:t xml:space="preserve">p HSE to be </w:t>
      </w:r>
      <w:r w:rsidR="00FA6D68" w:rsidRPr="00226D29">
        <w:rPr>
          <w:lang w:val="en-GB"/>
        </w:rPr>
        <w:t xml:space="preserve">made </w:t>
      </w:r>
      <w:r w:rsidRPr="00226D29">
        <w:rPr>
          <w:lang w:val="en-GB"/>
        </w:rPr>
        <w:t>availabl</w:t>
      </w:r>
      <w:r w:rsidR="00FA6D68" w:rsidRPr="00226D29">
        <w:rPr>
          <w:lang w:val="en-GB"/>
        </w:rPr>
        <w:t>e</w:t>
      </w:r>
      <w:r w:rsidRPr="00226D29">
        <w:rPr>
          <w:lang w:val="en-GB"/>
        </w:rPr>
        <w:t xml:space="preserve"> and ther</w:t>
      </w:r>
      <w:r w:rsidR="00FA6D68" w:rsidRPr="00226D29">
        <w:rPr>
          <w:lang w:val="en-GB"/>
        </w:rPr>
        <w:t>e</w:t>
      </w:r>
      <w:r w:rsidRPr="00226D29">
        <w:rPr>
          <w:lang w:val="en-GB"/>
        </w:rPr>
        <w:t>by enabled a certain level of monitoring over the company's de</w:t>
      </w:r>
      <w:r w:rsidR="00B16027" w:rsidRPr="00226D29">
        <w:rPr>
          <w:lang w:val="en-GB"/>
        </w:rPr>
        <w:t>ci</w:t>
      </w:r>
      <w:r w:rsidRPr="00226D29">
        <w:rPr>
          <w:lang w:val="en-GB"/>
        </w:rPr>
        <w:t>sion-making. However</w:t>
      </w:r>
      <w:r w:rsidR="004F2699">
        <w:rPr>
          <w:lang w:val="en-GB"/>
        </w:rPr>
        <w:t xml:space="preserve">, </w:t>
      </w:r>
      <w:r w:rsidR="005B289B" w:rsidRPr="00226D29">
        <w:rPr>
          <w:lang w:val="en-GB"/>
        </w:rPr>
        <w:t>no such</w:t>
      </w:r>
      <w:r w:rsidR="00415A95" w:rsidRPr="00415A95">
        <w:rPr>
          <w:lang w:val="en-GB"/>
        </w:rPr>
        <w:t xml:space="preserve"> re</w:t>
      </w:r>
      <w:r w:rsidRPr="00226D29">
        <w:rPr>
          <w:lang w:val="en-GB"/>
        </w:rPr>
        <w:t>q</w:t>
      </w:r>
      <w:r w:rsidR="00415A95">
        <w:rPr>
          <w:lang w:val="en-GB"/>
        </w:rPr>
        <w:t>u</w:t>
      </w:r>
      <w:r w:rsidRPr="00226D29">
        <w:rPr>
          <w:lang w:val="en-GB"/>
        </w:rPr>
        <w:t>est</w:t>
      </w:r>
      <w:r w:rsidR="005B289B" w:rsidRPr="00226D29">
        <w:rPr>
          <w:lang w:val="en-GB"/>
        </w:rPr>
        <w:t xml:space="preserve"> has been made to</w:t>
      </w:r>
      <w:r w:rsidRPr="00226D29">
        <w:rPr>
          <w:lang w:val="en-GB"/>
        </w:rPr>
        <w:t xml:space="preserve"> the HSE company in 2012 an</w:t>
      </w:r>
      <w:r w:rsidR="00415A95">
        <w:rPr>
          <w:lang w:val="en-GB"/>
        </w:rPr>
        <w:t>d</w:t>
      </w:r>
      <w:r w:rsidRPr="00226D29">
        <w:rPr>
          <w:lang w:val="en-GB"/>
        </w:rPr>
        <w:t xml:space="preserve"> 2013 which wou</w:t>
      </w:r>
      <w:r w:rsidR="00415A95">
        <w:rPr>
          <w:lang w:val="en-GB"/>
        </w:rPr>
        <w:t>l</w:t>
      </w:r>
      <w:r w:rsidRPr="00226D29">
        <w:rPr>
          <w:lang w:val="en-GB"/>
        </w:rPr>
        <w:t xml:space="preserve">d allow for proper analysis of </w:t>
      </w:r>
      <w:r w:rsidR="0067602F" w:rsidRPr="00226D29">
        <w:rPr>
          <w:lang w:val="en-GB"/>
        </w:rPr>
        <w:t xml:space="preserve">the availability of sufficient financial recourses of the HSE group for the </w:t>
      </w:r>
      <w:r w:rsidR="004F2699">
        <w:rPr>
          <w:lang w:val="en-GB"/>
        </w:rPr>
        <w:t>b</w:t>
      </w:r>
      <w:r w:rsidR="0067602F" w:rsidRPr="00226D29">
        <w:rPr>
          <w:lang w:val="en-GB"/>
        </w:rPr>
        <w:t xml:space="preserve">lock 6 investment and </w:t>
      </w:r>
      <w:r w:rsidR="007A7625" w:rsidRPr="00226D29">
        <w:rPr>
          <w:lang w:val="en-GB"/>
        </w:rPr>
        <w:t xml:space="preserve">of the kind of </w:t>
      </w:r>
      <w:r w:rsidR="0067602F" w:rsidRPr="00226D29">
        <w:rPr>
          <w:lang w:val="en-GB"/>
        </w:rPr>
        <w:t>measures the HSE gro</w:t>
      </w:r>
      <w:r w:rsidR="00415A95">
        <w:rPr>
          <w:lang w:val="en-GB"/>
        </w:rPr>
        <w:t>u</w:t>
      </w:r>
      <w:r w:rsidR="0067602F" w:rsidRPr="00226D29">
        <w:rPr>
          <w:lang w:val="en-GB"/>
        </w:rPr>
        <w:t xml:space="preserve">p </w:t>
      </w:r>
      <w:r w:rsidR="004F2699">
        <w:rPr>
          <w:lang w:val="en-GB"/>
        </w:rPr>
        <w:t xml:space="preserve">would </w:t>
      </w:r>
      <w:r w:rsidR="0067602F" w:rsidRPr="00226D29">
        <w:rPr>
          <w:lang w:val="en-GB"/>
        </w:rPr>
        <w:t>be in a position to undertake to guarantee bett</w:t>
      </w:r>
      <w:r w:rsidR="00F83151" w:rsidRPr="00226D29">
        <w:rPr>
          <w:lang w:val="en-GB"/>
        </w:rPr>
        <w:t>er efficiency and transparen</w:t>
      </w:r>
      <w:r w:rsidR="00415A95">
        <w:rPr>
          <w:lang w:val="en-GB"/>
        </w:rPr>
        <w:t>c</w:t>
      </w:r>
      <w:r w:rsidR="00F83151" w:rsidRPr="00226D29">
        <w:rPr>
          <w:lang w:val="en-GB"/>
        </w:rPr>
        <w:t xml:space="preserve">y </w:t>
      </w:r>
      <w:r w:rsidR="0067602F" w:rsidRPr="00226D29">
        <w:rPr>
          <w:lang w:val="en-GB"/>
        </w:rPr>
        <w:t>in the</w:t>
      </w:r>
      <w:r w:rsidR="00F83151" w:rsidRPr="00226D29">
        <w:rPr>
          <w:lang w:val="en-GB"/>
        </w:rPr>
        <w:t xml:space="preserve"> </w:t>
      </w:r>
      <w:r w:rsidR="00415A95" w:rsidRPr="00415A95">
        <w:rPr>
          <w:lang w:val="en-GB"/>
        </w:rPr>
        <w:t>man</w:t>
      </w:r>
      <w:r w:rsidR="00415A95">
        <w:rPr>
          <w:lang w:val="en-GB"/>
        </w:rPr>
        <w:t>a</w:t>
      </w:r>
      <w:r w:rsidR="0067602F" w:rsidRPr="00226D29">
        <w:rPr>
          <w:lang w:val="en-GB"/>
        </w:rPr>
        <w:t>g</w:t>
      </w:r>
      <w:r w:rsidR="00415A95">
        <w:rPr>
          <w:lang w:val="en-GB"/>
        </w:rPr>
        <w:t>e</w:t>
      </w:r>
      <w:r w:rsidR="0067602F" w:rsidRPr="00226D29">
        <w:rPr>
          <w:lang w:val="en-GB"/>
        </w:rPr>
        <w:t>ment of the com</w:t>
      </w:r>
      <w:r w:rsidR="00F83151" w:rsidRPr="00226D29">
        <w:rPr>
          <w:lang w:val="en-GB"/>
        </w:rPr>
        <w:t>p</w:t>
      </w:r>
      <w:r w:rsidR="0067602F" w:rsidRPr="00226D29">
        <w:rPr>
          <w:lang w:val="en-GB"/>
        </w:rPr>
        <w:t>anies wi</w:t>
      </w:r>
      <w:r w:rsidR="00F83151" w:rsidRPr="00226D29">
        <w:rPr>
          <w:lang w:val="en-GB"/>
        </w:rPr>
        <w:t>th</w:t>
      </w:r>
      <w:r w:rsidR="0067602F" w:rsidRPr="00226D29">
        <w:rPr>
          <w:lang w:val="en-GB"/>
        </w:rPr>
        <w:t>in the HSE group.</w:t>
      </w:r>
      <w:r w:rsidRPr="00226D29">
        <w:rPr>
          <w:lang w:val="en-GB"/>
        </w:rPr>
        <w:t xml:space="preserve"> </w:t>
      </w:r>
      <w:r w:rsidR="00415A95" w:rsidRPr="00415A95">
        <w:rPr>
          <w:lang w:val="en-GB"/>
        </w:rPr>
        <w:t>Similarly, no future plan f</w:t>
      </w:r>
      <w:r w:rsidR="0067602F" w:rsidRPr="00226D29">
        <w:rPr>
          <w:lang w:val="en-GB"/>
        </w:rPr>
        <w:t>o</w:t>
      </w:r>
      <w:r w:rsidR="00415A95">
        <w:rPr>
          <w:lang w:val="en-GB"/>
        </w:rPr>
        <w:t>r</w:t>
      </w:r>
      <w:r w:rsidR="0067602F" w:rsidRPr="00226D29">
        <w:rPr>
          <w:lang w:val="en-GB"/>
        </w:rPr>
        <w:t xml:space="preserve"> f</w:t>
      </w:r>
      <w:r w:rsidR="00415A95">
        <w:rPr>
          <w:lang w:val="en-GB"/>
        </w:rPr>
        <w:t>u</w:t>
      </w:r>
      <w:r w:rsidR="0067602F" w:rsidRPr="00226D29">
        <w:rPr>
          <w:lang w:val="en-GB"/>
        </w:rPr>
        <w:t>r</w:t>
      </w:r>
      <w:r w:rsidR="00415A95">
        <w:rPr>
          <w:lang w:val="en-GB"/>
        </w:rPr>
        <w:t>t</w:t>
      </w:r>
      <w:r w:rsidR="0067602F" w:rsidRPr="00226D29">
        <w:rPr>
          <w:lang w:val="en-GB"/>
        </w:rPr>
        <w:t>her devel</w:t>
      </w:r>
      <w:r w:rsidR="00D77544">
        <w:rPr>
          <w:lang w:val="en-GB"/>
        </w:rPr>
        <w:t>o</w:t>
      </w:r>
      <w:r w:rsidR="0067602F" w:rsidRPr="00226D29">
        <w:rPr>
          <w:lang w:val="en-GB"/>
        </w:rPr>
        <w:t>pm</w:t>
      </w:r>
      <w:r w:rsidR="00D77544">
        <w:rPr>
          <w:lang w:val="en-GB"/>
        </w:rPr>
        <w:t>en</w:t>
      </w:r>
      <w:r w:rsidR="0067602F" w:rsidRPr="00226D29">
        <w:rPr>
          <w:lang w:val="en-GB"/>
        </w:rPr>
        <w:t>t of the HSE gro</w:t>
      </w:r>
      <w:r w:rsidR="00D77544">
        <w:rPr>
          <w:lang w:val="en-GB"/>
        </w:rPr>
        <w:t>u</w:t>
      </w:r>
      <w:r w:rsidR="0067602F" w:rsidRPr="00226D29">
        <w:rPr>
          <w:lang w:val="en-GB"/>
        </w:rPr>
        <w:t>p was requested.</w:t>
      </w:r>
      <w:r w:rsidR="00D8029E" w:rsidRPr="00226D29">
        <w:rPr>
          <w:lang w:val="en-GB"/>
        </w:rPr>
        <w:t xml:space="preserve"> In w</w:t>
      </w:r>
      <w:r w:rsidR="009D5258" w:rsidRPr="00226D29">
        <w:rPr>
          <w:lang w:val="en-GB"/>
        </w:rPr>
        <w:t>as only in January 2014 that SSH</w:t>
      </w:r>
      <w:r w:rsidR="00D8029E" w:rsidRPr="00226D29">
        <w:rPr>
          <w:lang w:val="en-GB"/>
        </w:rPr>
        <w:t xml:space="preserve"> issued a form</w:t>
      </w:r>
      <w:r w:rsidR="00D77544">
        <w:rPr>
          <w:lang w:val="en-GB"/>
        </w:rPr>
        <w:t>a</w:t>
      </w:r>
      <w:r w:rsidR="00D77544" w:rsidRPr="00D77544">
        <w:rPr>
          <w:lang w:val="en-GB"/>
        </w:rPr>
        <w:t>l re</w:t>
      </w:r>
      <w:r w:rsidR="00D8029E" w:rsidRPr="00226D29">
        <w:rPr>
          <w:lang w:val="en-GB"/>
        </w:rPr>
        <w:t>q</w:t>
      </w:r>
      <w:r w:rsidR="00D77544">
        <w:rPr>
          <w:lang w:val="en-GB"/>
        </w:rPr>
        <w:t>u</w:t>
      </w:r>
      <w:r w:rsidR="00D8029E" w:rsidRPr="00226D29">
        <w:rPr>
          <w:lang w:val="en-GB"/>
        </w:rPr>
        <w:t xml:space="preserve">est to </w:t>
      </w:r>
      <w:r w:rsidR="002932E2" w:rsidRPr="00226D29">
        <w:rPr>
          <w:lang w:val="en-GB"/>
        </w:rPr>
        <w:t xml:space="preserve">company </w:t>
      </w:r>
      <w:r w:rsidR="00D8029E" w:rsidRPr="00226D29">
        <w:rPr>
          <w:lang w:val="en-GB"/>
        </w:rPr>
        <w:t>HSE to</w:t>
      </w:r>
      <w:r w:rsidR="00144404">
        <w:rPr>
          <w:lang w:val="en-GB"/>
        </w:rPr>
        <w:t xml:space="preserve"> take action</w:t>
      </w:r>
      <w:r w:rsidR="009D5258" w:rsidRPr="00226D29">
        <w:rPr>
          <w:lang w:val="en-GB"/>
        </w:rPr>
        <w:t xml:space="preserve"> which wou</w:t>
      </w:r>
      <w:r w:rsidR="00D77544">
        <w:rPr>
          <w:lang w:val="en-GB"/>
        </w:rPr>
        <w:t>l</w:t>
      </w:r>
      <w:r w:rsidR="009D5258" w:rsidRPr="00226D29">
        <w:rPr>
          <w:lang w:val="en-GB"/>
        </w:rPr>
        <w:t xml:space="preserve">d </w:t>
      </w:r>
      <w:r w:rsidR="004F2699">
        <w:rPr>
          <w:lang w:val="en-GB"/>
        </w:rPr>
        <w:t>provide</w:t>
      </w:r>
      <w:r w:rsidR="009D5258" w:rsidRPr="00226D29">
        <w:rPr>
          <w:lang w:val="en-GB"/>
        </w:rPr>
        <w:t xml:space="preserve"> SS</w:t>
      </w:r>
      <w:r w:rsidR="00D8029E" w:rsidRPr="00226D29">
        <w:rPr>
          <w:lang w:val="en-GB"/>
        </w:rPr>
        <w:t xml:space="preserve">H </w:t>
      </w:r>
      <w:r w:rsidR="004F2699">
        <w:rPr>
          <w:lang w:val="en-GB"/>
        </w:rPr>
        <w:t>with</w:t>
      </w:r>
      <w:r w:rsidR="00D8029E" w:rsidRPr="00226D29">
        <w:rPr>
          <w:lang w:val="en-GB"/>
        </w:rPr>
        <w:t xml:space="preserve"> adequate inf</w:t>
      </w:r>
      <w:r w:rsidR="009E15CB" w:rsidRPr="00226D29">
        <w:rPr>
          <w:lang w:val="en-GB"/>
        </w:rPr>
        <w:t>o</w:t>
      </w:r>
      <w:r w:rsidR="00D8029E" w:rsidRPr="00226D29">
        <w:rPr>
          <w:lang w:val="en-GB"/>
        </w:rPr>
        <w:t>rmation on the business operation</w:t>
      </w:r>
      <w:r w:rsidR="002932E2" w:rsidRPr="002932E2">
        <w:rPr>
          <w:lang w:val="en-GB"/>
        </w:rPr>
        <w:t xml:space="preserve"> </w:t>
      </w:r>
      <w:r w:rsidR="002932E2" w:rsidRPr="00226D29">
        <w:rPr>
          <w:lang w:val="en-GB"/>
        </w:rPr>
        <w:t>more timely</w:t>
      </w:r>
      <w:r w:rsidR="00D8029E" w:rsidRPr="00226D29">
        <w:rPr>
          <w:lang w:val="en-GB"/>
        </w:rPr>
        <w:t xml:space="preserve">. </w:t>
      </w:r>
    </w:p>
    <w:p w:rsidR="00AD32C1" w:rsidRPr="00226D29" w:rsidRDefault="00AD32C1" w:rsidP="005C0331">
      <w:pPr>
        <w:pStyle w:val="RStekst"/>
        <w:spacing w:line="360" w:lineRule="auto"/>
        <w:rPr>
          <w:lang w:val="en-GB"/>
        </w:rPr>
      </w:pPr>
    </w:p>
    <w:p w:rsidR="0043589E" w:rsidRPr="00226D29" w:rsidRDefault="0043589E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 xml:space="preserve">In the </w:t>
      </w:r>
      <w:r w:rsidR="00B34049" w:rsidRPr="00226D29">
        <w:rPr>
          <w:lang w:val="en-GB"/>
        </w:rPr>
        <w:t>Strategy of State assets man</w:t>
      </w:r>
      <w:r w:rsidR="00D77544">
        <w:rPr>
          <w:lang w:val="en-GB"/>
        </w:rPr>
        <w:t>a</w:t>
      </w:r>
      <w:r w:rsidR="00B34049" w:rsidRPr="00226D29">
        <w:rPr>
          <w:lang w:val="en-GB"/>
        </w:rPr>
        <w:t>gement for the period 2011-2015 there was no analysis and financial a</w:t>
      </w:r>
      <w:r w:rsidR="00643F9C">
        <w:rPr>
          <w:lang w:val="en-GB"/>
        </w:rPr>
        <w:t>s</w:t>
      </w:r>
      <w:r w:rsidR="00B34049" w:rsidRPr="00226D29">
        <w:rPr>
          <w:lang w:val="en-GB"/>
        </w:rPr>
        <w:t>ses</w:t>
      </w:r>
      <w:r w:rsidR="000A1DE9">
        <w:rPr>
          <w:lang w:val="en-GB"/>
        </w:rPr>
        <w:t>s</w:t>
      </w:r>
      <w:r w:rsidR="00B34049" w:rsidRPr="00226D29">
        <w:rPr>
          <w:lang w:val="en-GB"/>
        </w:rPr>
        <w:t>ment of the advant</w:t>
      </w:r>
      <w:r w:rsidR="00D77544">
        <w:rPr>
          <w:lang w:val="en-GB"/>
        </w:rPr>
        <w:t>a</w:t>
      </w:r>
      <w:r w:rsidR="00B34049" w:rsidRPr="00226D29">
        <w:rPr>
          <w:lang w:val="en-GB"/>
        </w:rPr>
        <w:t>g</w:t>
      </w:r>
      <w:r w:rsidR="00D77544">
        <w:rPr>
          <w:lang w:val="en-GB"/>
        </w:rPr>
        <w:t>e</w:t>
      </w:r>
      <w:r w:rsidR="00B34049" w:rsidRPr="00226D29">
        <w:rPr>
          <w:lang w:val="en-GB"/>
        </w:rPr>
        <w:t>s a</w:t>
      </w:r>
      <w:r w:rsidR="00D77544">
        <w:rPr>
          <w:lang w:val="en-GB"/>
        </w:rPr>
        <w:t>n</w:t>
      </w:r>
      <w:r w:rsidR="00B34049" w:rsidRPr="00226D29">
        <w:rPr>
          <w:lang w:val="en-GB"/>
        </w:rPr>
        <w:t>d disadvantages of the exist</w:t>
      </w:r>
      <w:r w:rsidR="00D77544">
        <w:rPr>
          <w:lang w:val="en-GB"/>
        </w:rPr>
        <w:t>en</w:t>
      </w:r>
      <w:r w:rsidR="00B34049" w:rsidRPr="00226D29">
        <w:rPr>
          <w:lang w:val="en-GB"/>
        </w:rPr>
        <w:t xml:space="preserve">ce of two separate energy </w:t>
      </w:r>
      <w:r w:rsidR="000A1DE9">
        <w:rPr>
          <w:lang w:val="en-GB"/>
        </w:rPr>
        <w:t>pillars</w:t>
      </w:r>
      <w:r w:rsidR="00B34049" w:rsidRPr="00226D29">
        <w:rPr>
          <w:lang w:val="en-GB"/>
        </w:rPr>
        <w:t xml:space="preserve"> in the energy sector in Slovenia. For the period 2012-2014 there was no scenario on the sid</w:t>
      </w:r>
      <w:r w:rsidR="00D77544">
        <w:rPr>
          <w:lang w:val="en-GB"/>
        </w:rPr>
        <w:t>e</w:t>
      </w:r>
      <w:r w:rsidR="00B34049" w:rsidRPr="00226D29">
        <w:rPr>
          <w:lang w:val="en-GB"/>
        </w:rPr>
        <w:t xml:space="preserve"> of the SSH incorporating measures to be used in case it was est</w:t>
      </w:r>
      <w:r w:rsidR="00AC5D2E">
        <w:rPr>
          <w:lang w:val="en-GB"/>
        </w:rPr>
        <w:t>imated</w:t>
      </w:r>
      <w:r w:rsidR="00B34049" w:rsidRPr="00226D29">
        <w:rPr>
          <w:lang w:val="en-GB"/>
        </w:rPr>
        <w:t xml:space="preserve"> that the </w:t>
      </w:r>
      <w:r w:rsidR="00D6038B">
        <w:rPr>
          <w:lang w:val="en-GB"/>
        </w:rPr>
        <w:t>b</w:t>
      </w:r>
      <w:r w:rsidR="00B34049" w:rsidRPr="00226D29">
        <w:rPr>
          <w:lang w:val="en-GB"/>
        </w:rPr>
        <w:t xml:space="preserve">lock 6 investment </w:t>
      </w:r>
      <w:r w:rsidR="0074397C">
        <w:rPr>
          <w:lang w:val="en-GB"/>
        </w:rPr>
        <w:t>would</w:t>
      </w:r>
      <w:r w:rsidR="00B34049" w:rsidRPr="00226D29">
        <w:rPr>
          <w:lang w:val="en-GB"/>
        </w:rPr>
        <w:t xml:space="preserve"> cause a negativ</w:t>
      </w:r>
      <w:r w:rsidR="00D77544">
        <w:rPr>
          <w:lang w:val="en-GB"/>
        </w:rPr>
        <w:t>e</w:t>
      </w:r>
      <w:r w:rsidR="00B34049" w:rsidRPr="00226D29">
        <w:rPr>
          <w:lang w:val="en-GB"/>
        </w:rPr>
        <w:t xml:space="preserve"> cash-flow for the HSE group.</w:t>
      </w:r>
    </w:p>
    <w:p w:rsidR="006641DE" w:rsidRPr="00226D29" w:rsidRDefault="006641DE" w:rsidP="005C0331">
      <w:pPr>
        <w:pStyle w:val="RStekst"/>
        <w:spacing w:line="360" w:lineRule="auto"/>
        <w:rPr>
          <w:lang w:val="en-GB"/>
        </w:rPr>
      </w:pPr>
    </w:p>
    <w:p w:rsidR="006641DE" w:rsidRPr="00226D29" w:rsidRDefault="006641DE" w:rsidP="005C0331">
      <w:pPr>
        <w:pStyle w:val="RStekst"/>
        <w:spacing w:line="360" w:lineRule="auto"/>
        <w:rPr>
          <w:lang w:val="en-GB"/>
        </w:rPr>
      </w:pPr>
      <w:r w:rsidRPr="00226D29">
        <w:rPr>
          <w:lang w:val="en-GB"/>
        </w:rPr>
        <w:t xml:space="preserve"> The Court has requested response reports from the HSE company and the Slovenian Sovereign Holding over corrective measures required with regard to preparation </w:t>
      </w:r>
      <w:r w:rsidR="000822FE">
        <w:rPr>
          <w:lang w:val="en-GB"/>
        </w:rPr>
        <w:t>o</w:t>
      </w:r>
      <w:r w:rsidRPr="00226D29">
        <w:rPr>
          <w:lang w:val="en-GB"/>
        </w:rPr>
        <w:t xml:space="preserve">f action plans for the financial and business </w:t>
      </w:r>
      <w:r w:rsidRPr="00226D29">
        <w:rPr>
          <w:lang w:val="en-GB"/>
        </w:rPr>
        <w:lastRenderedPageBreak/>
        <w:t>restructuring of the Coalmine Velen</w:t>
      </w:r>
      <w:r w:rsidR="000822FE">
        <w:rPr>
          <w:lang w:val="en-GB"/>
        </w:rPr>
        <w:t>j</w:t>
      </w:r>
      <w:r w:rsidRPr="00226D29">
        <w:rPr>
          <w:lang w:val="en-GB"/>
        </w:rPr>
        <w:t>e company and co</w:t>
      </w:r>
      <w:r w:rsidR="000822FE">
        <w:rPr>
          <w:lang w:val="en-GB"/>
        </w:rPr>
        <w:t>m</w:t>
      </w:r>
      <w:r w:rsidR="000822FE" w:rsidRPr="000822FE">
        <w:rPr>
          <w:lang w:val="en-GB"/>
        </w:rPr>
        <w:t>pany TE</w:t>
      </w:r>
      <w:r w:rsidR="000822FE">
        <w:rPr>
          <w:lang w:val="en-GB"/>
        </w:rPr>
        <w:t>Š</w:t>
      </w:r>
      <w:r w:rsidRPr="00226D29">
        <w:rPr>
          <w:lang w:val="en-GB"/>
        </w:rPr>
        <w:t>, for better internal coordination o</w:t>
      </w:r>
      <w:r w:rsidR="000822FE">
        <w:rPr>
          <w:lang w:val="en-GB"/>
        </w:rPr>
        <w:t>f</w:t>
      </w:r>
      <w:r w:rsidRPr="00226D29">
        <w:rPr>
          <w:lang w:val="en-GB"/>
        </w:rPr>
        <w:t xml:space="preserve"> the HSE group, for </w:t>
      </w:r>
      <w:r w:rsidR="00D14326" w:rsidRPr="00226D29">
        <w:rPr>
          <w:lang w:val="en-GB"/>
        </w:rPr>
        <w:t>establishm</w:t>
      </w:r>
      <w:r w:rsidR="000822FE">
        <w:rPr>
          <w:lang w:val="en-GB"/>
        </w:rPr>
        <w:t>en</w:t>
      </w:r>
      <w:r w:rsidR="00D14326" w:rsidRPr="00226D29">
        <w:rPr>
          <w:lang w:val="en-GB"/>
        </w:rPr>
        <w:t>t of clear relations, rights and obligation</w:t>
      </w:r>
      <w:r w:rsidR="008A11A8">
        <w:rPr>
          <w:lang w:val="en-GB"/>
        </w:rPr>
        <w:t>s</w:t>
      </w:r>
      <w:r w:rsidR="00D14326" w:rsidRPr="00226D29">
        <w:rPr>
          <w:lang w:val="en-GB"/>
        </w:rPr>
        <w:t xml:space="preserve"> between Republic of Slovenia and the creditors regardi</w:t>
      </w:r>
      <w:r w:rsidR="000822FE">
        <w:rPr>
          <w:lang w:val="en-GB"/>
        </w:rPr>
        <w:t>n</w:t>
      </w:r>
      <w:r w:rsidR="00D14326" w:rsidRPr="00226D29">
        <w:rPr>
          <w:lang w:val="en-GB"/>
        </w:rPr>
        <w:t>g the cond</w:t>
      </w:r>
      <w:r w:rsidR="000822FE">
        <w:rPr>
          <w:lang w:val="en-GB"/>
        </w:rPr>
        <w:t>i</w:t>
      </w:r>
      <w:r w:rsidR="00D14326" w:rsidRPr="00226D29">
        <w:rPr>
          <w:lang w:val="en-GB"/>
        </w:rPr>
        <w:t xml:space="preserve">tions set in the </w:t>
      </w:r>
      <w:r w:rsidR="00DC6367">
        <w:rPr>
          <w:lang w:val="en-GB"/>
        </w:rPr>
        <w:t>Act on the guaranty of the Republic of Slovenia</w:t>
      </w:r>
      <w:r w:rsidR="00E17091">
        <w:rPr>
          <w:lang w:val="en-GB"/>
        </w:rPr>
        <w:t xml:space="preserve"> for the long-term loan of TEŠ </w:t>
      </w:r>
      <w:r w:rsidR="00D14326" w:rsidRPr="00226D29">
        <w:rPr>
          <w:lang w:val="en-GB"/>
        </w:rPr>
        <w:t>and actions to establish the responsibil</w:t>
      </w:r>
      <w:r w:rsidR="000822FE">
        <w:rPr>
          <w:lang w:val="en-GB"/>
        </w:rPr>
        <w:t>i</w:t>
      </w:r>
      <w:r w:rsidR="00D14326" w:rsidRPr="00226D29">
        <w:rPr>
          <w:lang w:val="en-GB"/>
        </w:rPr>
        <w:t>ty of manage</w:t>
      </w:r>
      <w:r w:rsidR="000822FE" w:rsidRPr="000822FE">
        <w:rPr>
          <w:lang w:val="en-GB"/>
        </w:rPr>
        <w:t xml:space="preserve">rial and supervisory bodies of </w:t>
      </w:r>
      <w:r w:rsidR="00D14326" w:rsidRPr="00226D29">
        <w:rPr>
          <w:lang w:val="en-GB"/>
        </w:rPr>
        <w:t>t</w:t>
      </w:r>
      <w:r w:rsidR="000822FE">
        <w:rPr>
          <w:lang w:val="en-GB"/>
        </w:rPr>
        <w:t>h</w:t>
      </w:r>
      <w:r w:rsidR="00D14326" w:rsidRPr="00226D29">
        <w:rPr>
          <w:lang w:val="en-GB"/>
        </w:rPr>
        <w:t>e companies HSE a</w:t>
      </w:r>
      <w:r w:rsidR="000822FE">
        <w:rPr>
          <w:lang w:val="en-GB"/>
        </w:rPr>
        <w:t>n</w:t>
      </w:r>
      <w:r w:rsidR="00D14326" w:rsidRPr="00226D29">
        <w:rPr>
          <w:lang w:val="en-GB"/>
        </w:rPr>
        <w:t xml:space="preserve">d TEŠ. Of </w:t>
      </w:r>
      <w:r w:rsidR="00A80E1D" w:rsidRPr="00226D29">
        <w:rPr>
          <w:lang w:val="en-GB"/>
        </w:rPr>
        <w:t xml:space="preserve">the </w:t>
      </w:r>
      <w:r w:rsidR="00D14326" w:rsidRPr="00226D29">
        <w:rPr>
          <w:lang w:val="en-GB"/>
        </w:rPr>
        <w:t xml:space="preserve">SSH it has also been required to present a development plan for the HSE group. </w:t>
      </w:r>
      <w:r w:rsidR="00B02C1A" w:rsidRPr="00226D29">
        <w:rPr>
          <w:lang w:val="en-GB"/>
        </w:rPr>
        <w:t xml:space="preserve">The Court has also issued some recommendation </w:t>
      </w:r>
      <w:r w:rsidR="008906E5" w:rsidRPr="00226D29">
        <w:rPr>
          <w:lang w:val="en-GB"/>
        </w:rPr>
        <w:t xml:space="preserve">to the HSE company and SSH </w:t>
      </w:r>
      <w:r w:rsidR="00B02C1A" w:rsidRPr="00226D29">
        <w:rPr>
          <w:lang w:val="en-GB"/>
        </w:rPr>
        <w:t>as to the activit</w:t>
      </w:r>
      <w:r w:rsidR="000822FE">
        <w:rPr>
          <w:lang w:val="en-GB"/>
        </w:rPr>
        <w:t>i</w:t>
      </w:r>
      <w:r w:rsidR="00B02C1A" w:rsidRPr="00226D29">
        <w:rPr>
          <w:lang w:val="en-GB"/>
        </w:rPr>
        <w:t>es of the HSE gro</w:t>
      </w:r>
      <w:r w:rsidR="000822FE">
        <w:rPr>
          <w:lang w:val="en-GB"/>
        </w:rPr>
        <w:t>u</w:t>
      </w:r>
      <w:r w:rsidR="00B02C1A" w:rsidRPr="00226D29">
        <w:rPr>
          <w:lang w:val="en-GB"/>
        </w:rPr>
        <w:t>p in order to guara</w:t>
      </w:r>
      <w:r w:rsidR="000822FE">
        <w:rPr>
          <w:lang w:val="en-GB"/>
        </w:rPr>
        <w:t>n</w:t>
      </w:r>
      <w:r w:rsidR="00B02C1A" w:rsidRPr="00226D29">
        <w:rPr>
          <w:lang w:val="en-GB"/>
        </w:rPr>
        <w:t>tee a positive cash</w:t>
      </w:r>
      <w:r w:rsidR="000822FE">
        <w:rPr>
          <w:lang w:val="en-GB"/>
        </w:rPr>
        <w:t>-</w:t>
      </w:r>
      <w:r w:rsidR="00B02C1A" w:rsidRPr="00226D29">
        <w:rPr>
          <w:lang w:val="en-GB"/>
        </w:rPr>
        <w:t>flow of the gro</w:t>
      </w:r>
      <w:r w:rsidR="000822FE">
        <w:rPr>
          <w:lang w:val="en-GB"/>
        </w:rPr>
        <w:t>u</w:t>
      </w:r>
      <w:r w:rsidR="00B02C1A" w:rsidRPr="00226D29">
        <w:rPr>
          <w:lang w:val="en-GB"/>
        </w:rPr>
        <w:t xml:space="preserve">p in the future. </w:t>
      </w:r>
    </w:p>
    <w:p w:rsidR="006641DE" w:rsidRPr="00226D29" w:rsidRDefault="006641DE" w:rsidP="005C0331">
      <w:pPr>
        <w:pStyle w:val="RStekst"/>
        <w:spacing w:line="360" w:lineRule="auto"/>
        <w:rPr>
          <w:lang w:val="en-GB"/>
        </w:rPr>
      </w:pPr>
    </w:p>
    <w:p w:rsidR="00933D04" w:rsidRPr="00226D29" w:rsidRDefault="00097098" w:rsidP="005C0331">
      <w:pPr>
        <w:pStyle w:val="RStekst"/>
        <w:spacing w:line="360" w:lineRule="auto"/>
        <w:rPr>
          <w:lang w:val="en-GB"/>
        </w:rPr>
      </w:pPr>
      <w:r>
        <w:rPr>
          <w:lang w:val="en-GB"/>
        </w:rPr>
        <w:t>15 September 2015</w:t>
      </w:r>
      <w:bookmarkStart w:id="0" w:name="_GoBack"/>
      <w:bookmarkEnd w:id="0"/>
    </w:p>
    <w:sectPr w:rsidR="00933D04" w:rsidRPr="00226D29"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66" w:rsidRDefault="00773366">
      <w:r>
        <w:separator/>
      </w:r>
    </w:p>
  </w:endnote>
  <w:endnote w:type="continuationSeparator" w:id="0">
    <w:p w:rsidR="00773366" w:rsidRDefault="0077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9709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66" w:rsidRDefault="00773366">
      <w:r>
        <w:separator/>
      </w:r>
    </w:p>
  </w:footnote>
  <w:footnote w:type="continuationSeparator" w:id="0">
    <w:p w:rsidR="00773366" w:rsidRDefault="0077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D8DC60" wp14:editId="658B3D0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4C53176"/>
    <w:multiLevelType w:val="multilevel"/>
    <w:tmpl w:val="8106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3D"/>
    <w:rsid w:val="000478A9"/>
    <w:rsid w:val="000639DE"/>
    <w:rsid w:val="000822FE"/>
    <w:rsid w:val="0009191A"/>
    <w:rsid w:val="00097098"/>
    <w:rsid w:val="000A1DE9"/>
    <w:rsid w:val="000D599C"/>
    <w:rsid w:val="000E1149"/>
    <w:rsid w:val="000F227B"/>
    <w:rsid w:val="00106788"/>
    <w:rsid w:val="00110D72"/>
    <w:rsid w:val="00112C1F"/>
    <w:rsid w:val="00112F5E"/>
    <w:rsid w:val="00113959"/>
    <w:rsid w:val="00134591"/>
    <w:rsid w:val="00144404"/>
    <w:rsid w:val="00170899"/>
    <w:rsid w:val="00170BB7"/>
    <w:rsid w:val="001B4B13"/>
    <w:rsid w:val="001C0ECA"/>
    <w:rsid w:val="001E3435"/>
    <w:rsid w:val="001E63BA"/>
    <w:rsid w:val="001E7547"/>
    <w:rsid w:val="00205682"/>
    <w:rsid w:val="00226D29"/>
    <w:rsid w:val="00237C5A"/>
    <w:rsid w:val="00240F4B"/>
    <w:rsid w:val="00266467"/>
    <w:rsid w:val="00267667"/>
    <w:rsid w:val="002932E2"/>
    <w:rsid w:val="002C5DCD"/>
    <w:rsid w:val="002D2F9E"/>
    <w:rsid w:val="002D37F3"/>
    <w:rsid w:val="002F14E6"/>
    <w:rsid w:val="002F2498"/>
    <w:rsid w:val="00347126"/>
    <w:rsid w:val="003513F5"/>
    <w:rsid w:val="003533FF"/>
    <w:rsid w:val="003535E4"/>
    <w:rsid w:val="003576D3"/>
    <w:rsid w:val="003D2048"/>
    <w:rsid w:val="003D4CF5"/>
    <w:rsid w:val="00403C3E"/>
    <w:rsid w:val="00405005"/>
    <w:rsid w:val="00415A95"/>
    <w:rsid w:val="00417F13"/>
    <w:rsid w:val="00424125"/>
    <w:rsid w:val="0043589E"/>
    <w:rsid w:val="00452D68"/>
    <w:rsid w:val="0046253D"/>
    <w:rsid w:val="00480651"/>
    <w:rsid w:val="00497DF3"/>
    <w:rsid w:val="004B64AC"/>
    <w:rsid w:val="004D2510"/>
    <w:rsid w:val="004D7592"/>
    <w:rsid w:val="004F2699"/>
    <w:rsid w:val="004F402B"/>
    <w:rsid w:val="004F4974"/>
    <w:rsid w:val="005043DC"/>
    <w:rsid w:val="005066F2"/>
    <w:rsid w:val="00511F86"/>
    <w:rsid w:val="00527F9D"/>
    <w:rsid w:val="00530078"/>
    <w:rsid w:val="00534F81"/>
    <w:rsid w:val="005505A0"/>
    <w:rsid w:val="0058108F"/>
    <w:rsid w:val="00590644"/>
    <w:rsid w:val="00591A36"/>
    <w:rsid w:val="005946AB"/>
    <w:rsid w:val="005B289B"/>
    <w:rsid w:val="005C0331"/>
    <w:rsid w:val="005C34F4"/>
    <w:rsid w:val="005F6ED6"/>
    <w:rsid w:val="00604D91"/>
    <w:rsid w:val="00643F9C"/>
    <w:rsid w:val="00647D7F"/>
    <w:rsid w:val="006641DE"/>
    <w:rsid w:val="006734A6"/>
    <w:rsid w:val="00673DD7"/>
    <w:rsid w:val="0067602F"/>
    <w:rsid w:val="00683A3F"/>
    <w:rsid w:val="0069175E"/>
    <w:rsid w:val="006A1788"/>
    <w:rsid w:val="006A2AFA"/>
    <w:rsid w:val="006B0D89"/>
    <w:rsid w:val="006B1323"/>
    <w:rsid w:val="006C6399"/>
    <w:rsid w:val="006D1309"/>
    <w:rsid w:val="006D7FEA"/>
    <w:rsid w:val="006F1D63"/>
    <w:rsid w:val="007132D4"/>
    <w:rsid w:val="00735D7A"/>
    <w:rsid w:val="00742630"/>
    <w:rsid w:val="0074397C"/>
    <w:rsid w:val="007715E2"/>
    <w:rsid w:val="00773366"/>
    <w:rsid w:val="00775C81"/>
    <w:rsid w:val="007A7625"/>
    <w:rsid w:val="007C04D9"/>
    <w:rsid w:val="007E10FA"/>
    <w:rsid w:val="007E5CFB"/>
    <w:rsid w:val="007E79E8"/>
    <w:rsid w:val="007F3D0F"/>
    <w:rsid w:val="00807AAF"/>
    <w:rsid w:val="0081486B"/>
    <w:rsid w:val="008224C2"/>
    <w:rsid w:val="00824513"/>
    <w:rsid w:val="00867227"/>
    <w:rsid w:val="00874A2A"/>
    <w:rsid w:val="0088500B"/>
    <w:rsid w:val="008906E5"/>
    <w:rsid w:val="008965C3"/>
    <w:rsid w:val="008A11A8"/>
    <w:rsid w:val="008A4178"/>
    <w:rsid w:val="008C3206"/>
    <w:rsid w:val="008C34D3"/>
    <w:rsid w:val="008C36AB"/>
    <w:rsid w:val="008D28FA"/>
    <w:rsid w:val="008E1070"/>
    <w:rsid w:val="0091200A"/>
    <w:rsid w:val="00912111"/>
    <w:rsid w:val="0091512D"/>
    <w:rsid w:val="00933D04"/>
    <w:rsid w:val="00937FD4"/>
    <w:rsid w:val="0094708E"/>
    <w:rsid w:val="009721A0"/>
    <w:rsid w:val="00993BFE"/>
    <w:rsid w:val="009B40E9"/>
    <w:rsid w:val="009B7718"/>
    <w:rsid w:val="009D4862"/>
    <w:rsid w:val="009D5258"/>
    <w:rsid w:val="009E15CB"/>
    <w:rsid w:val="00A24F8E"/>
    <w:rsid w:val="00A61873"/>
    <w:rsid w:val="00A664C2"/>
    <w:rsid w:val="00A72A9B"/>
    <w:rsid w:val="00A72EB5"/>
    <w:rsid w:val="00A80E1D"/>
    <w:rsid w:val="00AA218A"/>
    <w:rsid w:val="00AA5B15"/>
    <w:rsid w:val="00AB03E9"/>
    <w:rsid w:val="00AC205F"/>
    <w:rsid w:val="00AC54E0"/>
    <w:rsid w:val="00AC5D2E"/>
    <w:rsid w:val="00AD32C1"/>
    <w:rsid w:val="00AE458F"/>
    <w:rsid w:val="00AE5250"/>
    <w:rsid w:val="00B008F8"/>
    <w:rsid w:val="00B00F8C"/>
    <w:rsid w:val="00B02C1A"/>
    <w:rsid w:val="00B16027"/>
    <w:rsid w:val="00B212FA"/>
    <w:rsid w:val="00B34049"/>
    <w:rsid w:val="00B44D76"/>
    <w:rsid w:val="00B51699"/>
    <w:rsid w:val="00B52D53"/>
    <w:rsid w:val="00B539E7"/>
    <w:rsid w:val="00B642BC"/>
    <w:rsid w:val="00B70263"/>
    <w:rsid w:val="00B71976"/>
    <w:rsid w:val="00B73C7E"/>
    <w:rsid w:val="00B92131"/>
    <w:rsid w:val="00BA74F7"/>
    <w:rsid w:val="00BC42EC"/>
    <w:rsid w:val="00BC5BC5"/>
    <w:rsid w:val="00BF05BB"/>
    <w:rsid w:val="00BF5960"/>
    <w:rsid w:val="00C05370"/>
    <w:rsid w:val="00C07C0D"/>
    <w:rsid w:val="00C31D5B"/>
    <w:rsid w:val="00C34BE3"/>
    <w:rsid w:val="00C5362F"/>
    <w:rsid w:val="00C543E3"/>
    <w:rsid w:val="00C57CE6"/>
    <w:rsid w:val="00C67DDD"/>
    <w:rsid w:val="00C74005"/>
    <w:rsid w:val="00C976EA"/>
    <w:rsid w:val="00CE660B"/>
    <w:rsid w:val="00CF7C19"/>
    <w:rsid w:val="00D14326"/>
    <w:rsid w:val="00D238B8"/>
    <w:rsid w:val="00D2498A"/>
    <w:rsid w:val="00D47861"/>
    <w:rsid w:val="00D52C34"/>
    <w:rsid w:val="00D6038B"/>
    <w:rsid w:val="00D7347F"/>
    <w:rsid w:val="00D77544"/>
    <w:rsid w:val="00D8029E"/>
    <w:rsid w:val="00D905F5"/>
    <w:rsid w:val="00DA44DA"/>
    <w:rsid w:val="00DC6367"/>
    <w:rsid w:val="00DE1D54"/>
    <w:rsid w:val="00DE6594"/>
    <w:rsid w:val="00DF5D95"/>
    <w:rsid w:val="00DF68CE"/>
    <w:rsid w:val="00E00CC1"/>
    <w:rsid w:val="00E02256"/>
    <w:rsid w:val="00E0772C"/>
    <w:rsid w:val="00E17091"/>
    <w:rsid w:val="00E463B1"/>
    <w:rsid w:val="00E806DC"/>
    <w:rsid w:val="00EA3491"/>
    <w:rsid w:val="00EB50E1"/>
    <w:rsid w:val="00EC57A6"/>
    <w:rsid w:val="00EF3E6E"/>
    <w:rsid w:val="00F07F05"/>
    <w:rsid w:val="00F10740"/>
    <w:rsid w:val="00F248CB"/>
    <w:rsid w:val="00F414AD"/>
    <w:rsid w:val="00F54462"/>
    <w:rsid w:val="00F558BC"/>
    <w:rsid w:val="00F6254E"/>
    <w:rsid w:val="00F7774E"/>
    <w:rsid w:val="00F83151"/>
    <w:rsid w:val="00F93FEE"/>
    <w:rsid w:val="00FA3284"/>
    <w:rsid w:val="00FA3783"/>
    <w:rsid w:val="00FA6D68"/>
    <w:rsid w:val="00FB5067"/>
    <w:rsid w:val="00FC0F57"/>
    <w:rsid w:val="00FC3F45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Hyperlink" w:uiPriority="99"/>
    <w:lsdException w:name="Emphasis" w:uiPriority="20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styleId="Poudarek">
    <w:name w:val="Emphasis"/>
    <w:basedOn w:val="Privzetapisavaodstavka"/>
    <w:uiPriority w:val="20"/>
    <w:qFormat/>
    <w:rsid w:val="0091200A"/>
    <w:rPr>
      <w:b/>
      <w:bCs/>
      <w:i w:val="0"/>
      <w:iCs w:val="0"/>
    </w:rPr>
  </w:style>
  <w:style w:type="character" w:customStyle="1" w:styleId="st1">
    <w:name w:val="st1"/>
    <w:basedOn w:val="Privzetapisavaodstavka"/>
    <w:rsid w:val="00912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Hyperlink" w:uiPriority="99"/>
    <w:lsdException w:name="Emphasis" w:uiPriority="20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styleId="Poudarek">
    <w:name w:val="Emphasis"/>
    <w:basedOn w:val="Privzetapisavaodstavka"/>
    <w:uiPriority w:val="20"/>
    <w:qFormat/>
    <w:rsid w:val="0091200A"/>
    <w:rPr>
      <w:b/>
      <w:bCs/>
      <w:i w:val="0"/>
      <w:iCs w:val="0"/>
    </w:rPr>
  </w:style>
  <w:style w:type="character" w:customStyle="1" w:styleId="st1">
    <w:name w:val="st1"/>
    <w:basedOn w:val="Privzetapisavaodstavka"/>
    <w:rsid w:val="0091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18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5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92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0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10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34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5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60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78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15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7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8208251">
                                                                                              <w:marLeft w:val="3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821967">
                                                                                                  <w:marLeft w:val="-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4207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ublic\Templates\Glava01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Glava01n</Template>
  <TotalTime>1172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glavo in nogo</vt:lpstr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glavo in nogo</dc:title>
  <dc:creator>Tina Eržen</dc:creator>
  <cp:lastModifiedBy>Tina Eržen</cp:lastModifiedBy>
  <cp:revision>165</cp:revision>
  <cp:lastPrinted>2015-12-11T11:18:00Z</cp:lastPrinted>
  <dcterms:created xsi:type="dcterms:W3CDTF">2015-12-04T10:28:00Z</dcterms:created>
  <dcterms:modified xsi:type="dcterms:W3CDTF">2016-01-22T10:09:00Z</dcterms:modified>
</cp:coreProperties>
</file>