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470D9285" w:rsidR="008629A2" w:rsidRPr="00F4569E" w:rsidRDefault="008629A2" w:rsidP="008629A2">
      <w:pPr>
        <w:pStyle w:val="RSGLAVNINASLOV"/>
        <w:rPr>
          <w:spacing w:val="-2"/>
        </w:rPr>
      </w:pPr>
      <w:r w:rsidRPr="009176A9">
        <w:rPr>
          <w:spacing w:val="-2"/>
        </w:rPr>
        <w:t>Povzetek revizijskega poročila</w:t>
      </w:r>
      <w:r w:rsidR="00E94C48">
        <w:rPr>
          <w:spacing w:val="-2"/>
        </w:rPr>
        <w:br/>
      </w:r>
      <w:r w:rsidR="00E94C48" w:rsidRPr="00E94C48">
        <w:rPr>
          <w:spacing w:val="-2"/>
        </w:rPr>
        <w:t>Postopki za imenovanje članov nadzornih svetov družb v</w:t>
      </w:r>
      <w:r w:rsidR="00E94C48">
        <w:rPr>
          <w:spacing w:val="-2"/>
        </w:rPr>
        <w:t> </w:t>
      </w:r>
      <w:r w:rsidR="00E94C48" w:rsidRPr="00E94C48">
        <w:rPr>
          <w:spacing w:val="-2"/>
        </w:rPr>
        <w:t xml:space="preserve">upravljanju Slovenskega državnega holdinga, </w:t>
      </w:r>
      <w:proofErr w:type="spellStart"/>
      <w:r w:rsidR="00E94C48" w:rsidRPr="00E94C48">
        <w:rPr>
          <w:spacing w:val="-2"/>
        </w:rPr>
        <w:t>d.d</w:t>
      </w:r>
      <w:proofErr w:type="spellEnd"/>
      <w:r w:rsidR="00E94C48" w:rsidRPr="00E94C48">
        <w:rPr>
          <w:spacing w:val="-2"/>
        </w:rPr>
        <w:t>.</w:t>
      </w:r>
      <w:r w:rsidRPr="009176A9">
        <w:rPr>
          <w:spacing w:val="-2"/>
        </w:rPr>
        <w:t xml:space="preserve"> </w:t>
      </w:r>
    </w:p>
    <w:p w14:paraId="3DF8FD4F" w14:textId="77777777" w:rsidR="00915E6D" w:rsidRPr="00915E6D" w:rsidRDefault="00915E6D" w:rsidP="00915E6D">
      <w:pPr>
        <w:pStyle w:val="RStekst"/>
      </w:pPr>
      <w:r w:rsidRPr="00915E6D">
        <w:t xml:space="preserve">Računsko sodišče je revidiralo učinkovitost poslovanja </w:t>
      </w:r>
      <w:r w:rsidRPr="00915E6D">
        <w:rPr>
          <w:b/>
        </w:rPr>
        <w:t xml:space="preserve">Slovenskega državnega holdinga, </w:t>
      </w:r>
      <w:proofErr w:type="spellStart"/>
      <w:r w:rsidRPr="00915E6D">
        <w:rPr>
          <w:b/>
        </w:rPr>
        <w:t>d.d</w:t>
      </w:r>
      <w:proofErr w:type="spellEnd"/>
      <w:r w:rsidRPr="00915E6D">
        <w:rPr>
          <w:b/>
        </w:rPr>
        <w:t>.</w:t>
      </w:r>
      <w:r w:rsidRPr="00915E6D">
        <w:t xml:space="preserve"> (v nadaljevanju: SDH) v delu, ki se nanaša na kandidacijske postopke za imenovanje članov nadzornih svetov družb v upravljanju SDH, v obdobju od 1. 1. 2020 do 31. 8. 2024. Po mnenju računskega sodišča je bil SDH pri tem </w:t>
      </w:r>
      <w:r w:rsidRPr="00915E6D">
        <w:rPr>
          <w:b/>
        </w:rPr>
        <w:t>delno učinkovit.</w:t>
      </w:r>
    </w:p>
    <w:p w14:paraId="141A9C2A" w14:textId="77777777" w:rsidR="00915E6D" w:rsidRPr="00915E6D" w:rsidRDefault="00915E6D" w:rsidP="00915E6D">
      <w:pPr>
        <w:pStyle w:val="RStekst"/>
      </w:pPr>
      <w:r w:rsidRPr="00915E6D">
        <w:t xml:space="preserve">SDH je krovni upravljavec kapitalskih naložb v lasti SDH in Republike Slovenije. Ustanovljen je bil 26. 4. 2014 s preoblikovanjem Slovenske odškodninske družbe, d. d. z namenom ločitve funkcije države kot lastnice kapitalskih naložb od drugih funkcij države, da bi s tem preprečili nasprotja interesov, izkrivljanje konkurence na trgih in neenakopravno obravnavo gospodarskih družb. Namen ustanovitve je bilo tudi koncentrirano, pregledno, strokovno in od dnevne politike ločeno upravljanje kapitalskih naložb države. </w:t>
      </w:r>
    </w:p>
    <w:p w14:paraId="5BE5B047" w14:textId="77777777" w:rsidR="00915E6D" w:rsidRPr="00915E6D" w:rsidRDefault="00915E6D" w:rsidP="00915E6D">
      <w:pPr>
        <w:pStyle w:val="RStekst"/>
      </w:pPr>
      <w:r w:rsidRPr="00915E6D">
        <w:rPr>
          <w:spacing w:val="-3"/>
        </w:rPr>
        <w:t>Način upravljanja kapitalskih naložb je opredeljen v Zakonu o Slovenskem državnem holdingu (ZSDH</w:t>
      </w:r>
      <w:r w:rsidRPr="00915E6D">
        <w:rPr>
          <w:spacing w:val="-3"/>
        </w:rPr>
        <w:noBreakHyphen/>
        <w:t>1)</w:t>
      </w:r>
      <w:r w:rsidRPr="00915E6D">
        <w:t xml:space="preserve"> in aktih, sprejetih na njegovi podlagi. Iz vsakokratne Politike upravljanja Slovenskega državnega holdinga izhaja, da so njegove naloge, povezane s postopki za imenovanje članov organov nadzora v družbe s kapitalsko naložbo države, med najpomembnejšimi nalogami in pristojnostmi SDH, za kar mora imeti vzpostavljen pregleden postopek akreditacije, nominacije in izbire kandidatov za člane nadzornih svetov družb s kapitalsko naložbo države. Na skupščinah, kjer uresničuje pravice treh delničarjev (lastne, Republike Slovenije in Kapitalske družbe, </w:t>
      </w:r>
      <w:proofErr w:type="spellStart"/>
      <w:r w:rsidRPr="00915E6D">
        <w:t>d.d</w:t>
      </w:r>
      <w:proofErr w:type="spellEnd"/>
      <w:r w:rsidRPr="00915E6D">
        <w:t>.), mora glasovati po objektivnih merilih, ki so enaka za vse kandidate. Merili sta strokovnost in izkušenost, zato morajo biti vsi notranji postopki podrejeni tema meriloma in čim bolj objektivni.</w:t>
      </w:r>
    </w:p>
    <w:p w14:paraId="15A87667" w14:textId="77777777" w:rsidR="00915E6D" w:rsidRPr="00915E6D" w:rsidRDefault="00915E6D" w:rsidP="00915E6D">
      <w:pPr>
        <w:pStyle w:val="RStekst"/>
      </w:pPr>
      <w:r w:rsidRPr="00915E6D">
        <w:t>SDH je kandidacijski postopek v obdobju, na katero se nanaša revizija, nadgradil in dopolnil ter delno digitaliziral na Portalu kadrovske komisije. Kljub temu v praksi SDH ni v celoti vzpostavil sledljivosti in dokumentiranja postopkov za pridobivanje potencialnih kandidatov ter ustreznih evidenc. SDH ni beležil, po kateri naborni poti je potencialni kandidat za člana organa nadzora prišel v postopek. Portal kadrovske komisije ni v celoti sledil v notranjih aktih predpisanemu kandidacijskemu postopku. Dokumentacija na Portalu kadrovske komisije ni bila popolna in ni zagotavljala sledljivosti sprememb v posameznem postopku. SDH v notranjih aktih ni imel določenih različnih skupin uporabnikov Portala kadrovske komisije, obsega in postopka dodeljevanja pravic dostopa in uporabe, glede česar je računsko sodišče izdalo priporočilo že v predhodni reviziji.</w:t>
      </w:r>
    </w:p>
    <w:p w14:paraId="7AD30264" w14:textId="77777777" w:rsidR="00915E6D" w:rsidRPr="00915E6D" w:rsidRDefault="00915E6D" w:rsidP="00915E6D">
      <w:pPr>
        <w:pStyle w:val="RStekst"/>
      </w:pPr>
      <w:r w:rsidRPr="00915E6D">
        <w:t xml:space="preserve">SDH ni izvajal ocenjevanja in odločanja o kandidatih za člane nadzornih svetov na pregleden in sledljiv način. SDH ni imel vzpostavljene sledljivosti nabora kandidatov za </w:t>
      </w:r>
      <w:proofErr w:type="spellStart"/>
      <w:r w:rsidRPr="00915E6D">
        <w:t>nominacijski</w:t>
      </w:r>
      <w:proofErr w:type="spellEnd"/>
      <w:r w:rsidRPr="00915E6D">
        <w:t xml:space="preserve"> postopek, saj ni bilo jasno oziroma dokumentirano, kako je uprava SDH ali kadrovska komisija opravila izbor kandidatov iz evidence akreditiranih kandidatov za točno določen nadzorni svet gospodarske </w:t>
      </w:r>
      <w:r w:rsidRPr="00915E6D">
        <w:lastRenderedPageBreak/>
        <w:t xml:space="preserve">družbe. Kadrovska komisija je v obravnavanem obdobju opustila svojo pomembno vlogo predlaganja kandidatov, ki so v evidenci akreditiranih kandidatov z namenom, da bi si konkurirali glede na svoja strokovna znanja in izkušnje na posameznem področju. To pomeni, da so bili v </w:t>
      </w:r>
      <w:proofErr w:type="spellStart"/>
      <w:r w:rsidRPr="00915E6D">
        <w:t>nominacijski</w:t>
      </w:r>
      <w:proofErr w:type="spellEnd"/>
      <w:r w:rsidRPr="00915E6D">
        <w:t xml:space="preserve"> postopek uvrščeni le kandidati, ki jih je iz evidence po </w:t>
      </w:r>
      <w:proofErr w:type="spellStart"/>
      <w:r w:rsidRPr="00915E6D">
        <w:t>nezabeleženih</w:t>
      </w:r>
      <w:proofErr w:type="spellEnd"/>
      <w:r w:rsidRPr="00915E6D">
        <w:t xml:space="preserve"> kriterijih izbrala uprava SDH. V naročilih postopka postavljen časovni rok, v katerem bi morala kadrovska komisija oceniti primernost kandidata, je bil v večjem številu primerov krajši od minimalnega roka, predpisanega z notranjim aktom. Kadrovska komisija v </w:t>
      </w:r>
      <w:proofErr w:type="spellStart"/>
      <w:r w:rsidRPr="00915E6D">
        <w:t>nominacijskih</w:t>
      </w:r>
      <w:proofErr w:type="spellEnd"/>
      <w:r w:rsidRPr="00915E6D">
        <w:t xml:space="preserve"> poročilih, ki vsebujejo kratek popis razgovora s kandidatom, oceno o primernosti in obrazložitev ocene, ni zadostno obrazložila ali se v obrazložitvi ocene ni opredelila do izpolnjevanja posameznih zakonskih pogojev, ki bi jih moral kandidat izpolnjevati. Kadrovska komisija primerno ocenjenih kandidatov ni razvrščala glede na njihovo primernost (izkušenost in strokovnost). SDH je za člane nadzornih svetov družb v upravljanju imenoval tudi zaposlene na SDH, tako člane uprave kot upravljavce naložb ali vodje notranjih služb. S tem se je SDH izpostavljal videzu ali potencialnim nasprotjem interesov tako v postopku na SDH kot v družbi v upravljanju, čeprav se je SDH dolžan v največji meri izogibati nasprotjem interesov. </w:t>
      </w:r>
    </w:p>
    <w:p w14:paraId="0C0FA048" w14:textId="77777777" w:rsidR="00915E6D" w:rsidRPr="00915E6D" w:rsidRDefault="00915E6D" w:rsidP="00915E6D">
      <w:pPr>
        <w:pStyle w:val="RStekst"/>
      </w:pPr>
      <w:r w:rsidRPr="00915E6D">
        <w:t xml:space="preserve">SDH je z Zakonom </w:t>
      </w:r>
      <w:bookmarkStart w:id="0" w:name="_Hlk230330568"/>
      <w:r w:rsidRPr="00915E6D">
        <w:t xml:space="preserve">o spremembah in dopolnitvah Zakona o Slovenskem državnem holdingu </w:t>
      </w:r>
      <w:bookmarkEnd w:id="0"/>
      <w:r w:rsidRPr="00915E6D">
        <w:t>(ZSDH</w:t>
      </w:r>
      <w:r w:rsidRPr="00915E6D">
        <w:noBreakHyphen/>
        <w:t>1A), ki je stopil v veljavo 19. 11. 2022, dobil obveznost preverjanja izpolnjevanja pogojev že imenovanih članov organov nadzora. SDH je sprejel notranji akt za preveritev članov nadzornih svetov, vendar z njim ni vzpostavil celovitega, preglednega in sledljivega postopka, saj niso bile jasno določene pristojnosti in naloge udeležencev v postopku, ni bilo predpisanega enotnega načina poročanja, dokumentiranje postopkov je bilo pomanjkljivo. SDH je vodil evidence komunikacije z državnimi organi ter drugimi osebami javnega prava, v katerih je evidentiral stike predstavnikov teh subjektov z zaposlenimi na SDH, vendar iz njih ni bilo mogoče vedno ugotoviti narave in vsebine stikov.</w:t>
      </w:r>
    </w:p>
    <w:p w14:paraId="21CC44C3" w14:textId="0F1BA54E" w:rsidR="003D1FAE" w:rsidRPr="00B93B92" w:rsidRDefault="00915E6D" w:rsidP="003D1FAE">
      <w:pPr>
        <w:pStyle w:val="RStekst"/>
        <w:rPr>
          <w:b/>
        </w:rPr>
      </w:pPr>
      <w:r w:rsidRPr="00915E6D">
        <w:t xml:space="preserve">SDH je ugotovljene neskladnosti in nesmotrnosti z več sprejetimi ukrepi odpravil med izvajanjem revizije, kljub temu pa je računsko sodišče SDH podalo več </w:t>
      </w:r>
      <w:r w:rsidRPr="00915E6D">
        <w:rPr>
          <w:b/>
        </w:rPr>
        <w:t>priporočil.</w:t>
      </w:r>
    </w:p>
    <w:p w14:paraId="5424E38D" w14:textId="77777777" w:rsidR="00C572B5" w:rsidRDefault="00C572B5" w:rsidP="003D1FAE">
      <w:pPr>
        <w:pStyle w:val="RStekst"/>
      </w:pPr>
    </w:p>
    <w:p w14:paraId="35897DF7" w14:textId="0EFEBD71" w:rsidR="008629A2" w:rsidRDefault="008629A2" w:rsidP="008629A2">
      <w:pPr>
        <w:pStyle w:val="RStekst"/>
      </w:pPr>
      <w:r>
        <w:t xml:space="preserve">Ljubljana, </w:t>
      </w:r>
      <w:r w:rsidR="00B93B92">
        <w:t>9. junija 2026</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C5725"/>
    <w:rsid w:val="003D01A6"/>
    <w:rsid w:val="003D1FAE"/>
    <w:rsid w:val="003D384A"/>
    <w:rsid w:val="003D484C"/>
    <w:rsid w:val="003D510E"/>
    <w:rsid w:val="003E12B7"/>
    <w:rsid w:val="003F0350"/>
    <w:rsid w:val="003F73C5"/>
    <w:rsid w:val="003F75AA"/>
    <w:rsid w:val="004018AA"/>
    <w:rsid w:val="00404354"/>
    <w:rsid w:val="00414C42"/>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14A2C"/>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B6292"/>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15E6D"/>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3B92"/>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4C48"/>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00FFD-028A-4A29-AEB9-CF2058308C28}">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1e3d3dff-4392-4e99-aebd-c95b4ee1afdd"/>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4647</Characters>
  <Application>Microsoft Office Word</Application>
  <DocSecurity>0</DocSecurity>
  <Lines>89</Lines>
  <Paragraphs>37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2026-06-04T12:40:00Z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