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48C1D636" w:rsidR="008629A2" w:rsidRPr="00F4569E" w:rsidRDefault="008629A2" w:rsidP="008629A2">
      <w:pPr>
        <w:pStyle w:val="RSGLAVNINASLOV"/>
        <w:rPr>
          <w:spacing w:val="-2"/>
        </w:rPr>
      </w:pPr>
      <w:r w:rsidRPr="009176A9">
        <w:rPr>
          <w:spacing w:val="-2"/>
        </w:rPr>
        <w:t xml:space="preserve">Povzetek revizijskega poročila </w:t>
      </w:r>
      <w:r w:rsidR="00582EBB">
        <w:rPr>
          <w:spacing w:val="-2"/>
        </w:rPr>
        <w:br/>
      </w:r>
      <w:r w:rsidR="00582EBB" w:rsidRPr="00582EBB">
        <w:rPr>
          <w:spacing w:val="-2"/>
        </w:rPr>
        <w:t xml:space="preserve">Pravilnost nabave medicinskega potrošnega </w:t>
      </w:r>
      <w:r w:rsidR="00582EBB">
        <w:rPr>
          <w:spacing w:val="-2"/>
        </w:rPr>
        <w:br/>
      </w:r>
      <w:r w:rsidR="00582EBB" w:rsidRPr="00582EBB">
        <w:rPr>
          <w:spacing w:val="-2"/>
        </w:rPr>
        <w:t xml:space="preserve">materiala, implantatov in </w:t>
      </w:r>
      <w:proofErr w:type="spellStart"/>
      <w:r w:rsidR="00582EBB" w:rsidRPr="00582EBB">
        <w:rPr>
          <w:spacing w:val="-2"/>
        </w:rPr>
        <w:t>osteosintetskega</w:t>
      </w:r>
      <w:proofErr w:type="spellEnd"/>
      <w:r w:rsidR="00582EBB" w:rsidRPr="00582EBB">
        <w:rPr>
          <w:spacing w:val="-2"/>
        </w:rPr>
        <w:t xml:space="preserve"> materiala </w:t>
      </w:r>
      <w:r w:rsidR="00582EBB">
        <w:rPr>
          <w:spacing w:val="-2"/>
        </w:rPr>
        <w:br/>
      </w:r>
      <w:r w:rsidR="00582EBB" w:rsidRPr="00582EBB">
        <w:rPr>
          <w:spacing w:val="-2"/>
        </w:rPr>
        <w:t>v Univerzitetnem kliničnem centru Maribor</w:t>
      </w:r>
    </w:p>
    <w:p w14:paraId="7D4172B8" w14:textId="77777777" w:rsidR="00582EBB" w:rsidRPr="00582EBB" w:rsidRDefault="00582EBB" w:rsidP="00582EBB">
      <w:pPr>
        <w:pStyle w:val="RStekst"/>
      </w:pPr>
      <w:r w:rsidRPr="00582EBB">
        <w:t xml:space="preserve">Računsko sodišče je izvedlo revizijo pravilnosti poslovanja </w:t>
      </w:r>
      <w:r w:rsidRPr="00582EBB">
        <w:rPr>
          <w:b/>
        </w:rPr>
        <w:t>Univerzitetnega kliničnega centra Maribor</w:t>
      </w:r>
      <w:r w:rsidRPr="00582EBB">
        <w:t xml:space="preserve"> (v nadaljevanju: UKC Maribor). </w:t>
      </w:r>
      <w:r w:rsidRPr="00582EBB">
        <w:rPr>
          <w:b/>
        </w:rPr>
        <w:t>Cilj revizije</w:t>
      </w:r>
      <w:r w:rsidRPr="00582EBB">
        <w:t xml:space="preserve"> je bil izrek mnenja o pravilnosti dela poslovanja, ki se nanaša na nabavo medicinskega potrošnega materiala, implantatov in </w:t>
      </w:r>
      <w:proofErr w:type="spellStart"/>
      <w:r w:rsidRPr="00582EBB">
        <w:t>osteosintetskega</w:t>
      </w:r>
      <w:proofErr w:type="spellEnd"/>
      <w:r w:rsidRPr="00582EBB">
        <w:t xml:space="preserve"> materiala v letu 2023.</w:t>
      </w:r>
    </w:p>
    <w:p w14:paraId="52DB03CA" w14:textId="77777777" w:rsidR="00582EBB" w:rsidRPr="00582EBB" w:rsidRDefault="00582EBB" w:rsidP="00582EBB">
      <w:pPr>
        <w:pStyle w:val="RStekst"/>
      </w:pPr>
      <w:r w:rsidRPr="00582EBB">
        <w:t xml:space="preserve">Računsko sodišče je o </w:t>
      </w:r>
      <w:r w:rsidRPr="00582EBB">
        <w:rPr>
          <w:b/>
        </w:rPr>
        <w:t>pravilnosti poslovanja UKC Maribor</w:t>
      </w:r>
      <w:r w:rsidRPr="00582EBB">
        <w:t xml:space="preserve"> izreklo </w:t>
      </w:r>
      <w:r w:rsidRPr="00582EBB">
        <w:rPr>
          <w:b/>
        </w:rPr>
        <w:t>mnenje s pridržkom,</w:t>
      </w:r>
      <w:r w:rsidRPr="00582EBB">
        <w:t xml:space="preserve"> ker je ugotovilo, da UKC Maribor v nasprotju z Zakonom o javnem naročanju pri nabavi medicinskega potrošnega materiala, implantatov in </w:t>
      </w:r>
      <w:proofErr w:type="spellStart"/>
      <w:r w:rsidRPr="00582EBB">
        <w:t>osteosintetskega</w:t>
      </w:r>
      <w:proofErr w:type="spellEnd"/>
      <w:r w:rsidRPr="00582EBB">
        <w:t xml:space="preserve"> materiala v skupni vrednosti 424.354 EUR ni izbral dobaviteljev na podlagi postopkov za oddajo javnih naročil, ki jih predpisuje zakon. Poleg tega pa UKC Maribor v enem od izvedenih postopkov za oddajo javnega naročila materiala v vrednosti 165.891 EUR ni razdelil na ločene sklope, v drugem postopku ni oblikoval zaprtega sklopa za med seboj povezan material, v tretjem postopku pa je izbral ponudnika, ki je predložil nedopustno ponudbo v znesku 2.418 EUR.</w:t>
      </w:r>
      <w:bookmarkStart w:id="0" w:name="_Hlk211928682"/>
      <w:r w:rsidRPr="00582EBB">
        <w:t xml:space="preserve"> </w:t>
      </w:r>
      <w:bookmarkEnd w:id="0"/>
    </w:p>
    <w:p w14:paraId="372D3B78" w14:textId="77777777" w:rsidR="00582EBB" w:rsidRPr="00582EBB" w:rsidRDefault="00582EBB" w:rsidP="00582EBB">
      <w:pPr>
        <w:pStyle w:val="RStekst"/>
      </w:pPr>
      <w:r w:rsidRPr="00582EBB">
        <w:t>UKC Maribor je med revizijskim postopkom sprejel ustrezne popravljalne ukrepe za odpravo razkritih nepravilnosti, zato računsko sodišče ni zahtevalo predložitve odzivnega poročila.</w:t>
      </w:r>
    </w:p>
    <w:p w14:paraId="5424E38D" w14:textId="77777777" w:rsidR="00C572B5" w:rsidRDefault="00C572B5" w:rsidP="003D1FAE">
      <w:pPr>
        <w:pStyle w:val="RStekst"/>
      </w:pPr>
    </w:p>
    <w:p w14:paraId="35897DF7" w14:textId="272A5FB1" w:rsidR="008629A2" w:rsidRDefault="008629A2" w:rsidP="008629A2">
      <w:pPr>
        <w:pStyle w:val="RStekst"/>
      </w:pPr>
      <w:r w:rsidRPr="003C6833">
        <w:t xml:space="preserve">Ljubljana, </w:t>
      </w:r>
      <w:r w:rsidR="003C6833" w:rsidRPr="003C6833">
        <w:t>11</w:t>
      </w:r>
      <w:r w:rsidR="00582EBB" w:rsidRPr="003C6833">
        <w:t>. novembra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95717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06A9"/>
    <w:rsid w:val="0036638F"/>
    <w:rsid w:val="003700A4"/>
    <w:rsid w:val="00373DFB"/>
    <w:rsid w:val="00383B17"/>
    <w:rsid w:val="00384CED"/>
    <w:rsid w:val="003A26D5"/>
    <w:rsid w:val="003A4550"/>
    <w:rsid w:val="003C1417"/>
    <w:rsid w:val="003C6833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77185"/>
    <w:rsid w:val="00582EBB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074D8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1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00FFD-028A-4A29-AEB9-CF2058308C28}">
  <ds:schemaRefs>
    <ds:schemaRef ds:uri="1e3d3dff-4392-4e99-aebd-c95b4ee1afdd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2025-11-10T12:11:00Z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