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6558DB8A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A90E18">
        <w:rPr>
          <w:spacing w:val="-2"/>
        </w:rPr>
        <w:br/>
      </w:r>
      <w:r w:rsidR="00A90E18" w:rsidRPr="00A90E18">
        <w:rPr>
          <w:spacing w:val="-2"/>
        </w:rPr>
        <w:t>Pravilnost določanja in izplačevanja plač v Srednji gradbeni, geodetski, okoljevarstveni šoli in strokovni gimnaziji Ljubljana</w:t>
      </w:r>
      <w:r w:rsidRPr="009176A9">
        <w:rPr>
          <w:spacing w:val="-2"/>
        </w:rPr>
        <w:t xml:space="preserve"> </w:t>
      </w:r>
    </w:p>
    <w:p w14:paraId="76FEF9C4" w14:textId="77777777" w:rsidR="00A90E18" w:rsidRPr="002A106F" w:rsidRDefault="00A90E18" w:rsidP="00A90E18">
      <w:pPr>
        <w:pStyle w:val="RStekst"/>
      </w:pPr>
      <w:r w:rsidRPr="002A106F">
        <w:t xml:space="preserve">Računsko sodišče je izvedlo revizijo pravilnosti določanja in izplačevanja plač v </w:t>
      </w:r>
      <w:r w:rsidRPr="002A106F">
        <w:rPr>
          <w:b/>
        </w:rPr>
        <w:t>Srednji gradbeni, geodetski, okoljevarstveni šoli in strokovni gimnaziji Ljubljana</w:t>
      </w:r>
      <w:r w:rsidRPr="002A106F">
        <w:t xml:space="preserve"> (v nadaljevanju: šola) za obdobje od 1. 9. do 31. 12. 2023. Cilj revizije je bil izrek mnenja o pravilnosti tega dela poslovanja šole.</w:t>
      </w:r>
    </w:p>
    <w:p w14:paraId="2EC0CF50" w14:textId="77777777" w:rsidR="00A90E18" w:rsidRPr="002A106F" w:rsidRDefault="00A90E18" w:rsidP="00A90E18">
      <w:pPr>
        <w:pStyle w:val="RStekst"/>
      </w:pPr>
      <w:bookmarkStart w:id="0" w:name="_Hlk202333930"/>
      <w:bookmarkStart w:id="1" w:name="_Hlk202333868"/>
      <w:r w:rsidRPr="002A106F">
        <w:t xml:space="preserve">Računsko sodišče je o pravilnosti določanja in izplačevanja plač v šoli za obdobje od 1. 9. do 31. 12. 2023 izreklo </w:t>
      </w:r>
      <w:r w:rsidRPr="00A90E18">
        <w:rPr>
          <w:rStyle w:val="RStekstBoldbarva"/>
          <w:color w:val="auto"/>
        </w:rPr>
        <w:t>mnenje s pridržkom,</w:t>
      </w:r>
      <w:r w:rsidRPr="00A90E18">
        <w:t xml:space="preserve"> </w:t>
      </w:r>
      <w:r w:rsidRPr="002A106F">
        <w:t xml:space="preserve">ker je ugotovilo, da je šola v nasprotju z Zakonom o sistemu plač v javnem sektorju 5 javnim uslužbencem nepravilno določila osnovno plačo ter jim zato izplačala za 795 EUR previsoke oziroma za 289 EUR prenizke osnovne plače, poleg tega šola v nasprotju z omenjenim zakonom v pogodbah o zaposlitvi ni opredelila vseh delovnih mest ter plačnih razredov za vsako od delovnih mest, za nekatere javne uslužbence pa ni mesečno izdala pisne odločitve o povečanem obsegu dela. Ker šola v aktu </w:t>
      </w:r>
      <w:bookmarkEnd w:id="0"/>
      <w:r w:rsidRPr="002A106F">
        <w:t xml:space="preserve">o sistemizaciji delovnih mest ni določila vseh delovnih mest, potrebnih za izvajanje nalog, je ravnala tudi v nasprotju z Zakonom o javnih uslužbencih. </w:t>
      </w:r>
      <w:bookmarkEnd w:id="1"/>
      <w:r w:rsidRPr="002A106F">
        <w:t xml:space="preserve">Pri obračunavanju in izplačevanju povečane tedenske učne obveznosti v nasprotju z Zakonom o sistemu </w:t>
      </w:r>
      <w:bookmarkStart w:id="2" w:name="_Hlk202334244"/>
      <w:r w:rsidRPr="002A106F">
        <w:t xml:space="preserve">plač v javnem sektorju in Uredbo o enotni </w:t>
      </w:r>
      <w:bookmarkEnd w:id="2"/>
      <w:r w:rsidRPr="002A106F">
        <w:t>metodologiji in obrazcih za obračun in izplačilo plač v javnem sektorju ni obračunala povečane tedenske učne obveznosti oziroma je ni obračunavala glede na dejansko opravljene ure učne obveznosti, v nekaterih primerih pa tudi ni</w:t>
      </w:r>
      <w:r>
        <w:t> </w:t>
      </w:r>
      <w:r w:rsidRPr="001E16C7">
        <w:rPr>
          <w:spacing w:val="-2"/>
        </w:rPr>
        <w:t xml:space="preserve">uporabila pravih faktorjev za izračun povečane učne obveznosti. Poleg tega je šola </w:t>
      </w:r>
      <w:r w:rsidRPr="001E16C7">
        <w:rPr>
          <w:spacing w:val="-2"/>
        </w:rPr>
        <w:tab/>
        <w:t>v</w:t>
      </w:r>
      <w:r>
        <w:rPr>
          <w:spacing w:val="-2"/>
        </w:rPr>
        <w:t> </w:t>
      </w:r>
      <w:r w:rsidRPr="001E16C7">
        <w:rPr>
          <w:spacing w:val="-2"/>
        </w:rPr>
        <w:t>nasprotju</w:t>
      </w:r>
      <w:r>
        <w:rPr>
          <w:spacing w:val="-2"/>
        </w:rPr>
        <w:t> </w:t>
      </w:r>
      <w:r w:rsidRPr="001E16C7">
        <w:rPr>
          <w:spacing w:val="-2"/>
        </w:rPr>
        <w:t>z</w:t>
      </w:r>
      <w:r>
        <w:rPr>
          <w:spacing w:val="-2"/>
        </w:rPr>
        <w:t> </w:t>
      </w:r>
      <w:r w:rsidRPr="001E16C7">
        <w:rPr>
          <w:spacing w:val="-2"/>
        </w:rPr>
        <w:t>Zakonom</w:t>
      </w:r>
      <w:r w:rsidRPr="002A106F">
        <w:t xml:space="preserve"> o organizaciji in financiranju vzgoje in izobraževanja dodatno strokovno pomoč dijakom s posebnimi potrebami, upravljanje učbeniškega sklada in izvedbo nalog v zvezi s poklicno maturo in zaključnim izpitom opredelila kot povečano učno obveznost in izplačala delovno uspešnost iz tega naslova v nasprotju z Zakonom o sistemu plač v javnem sektorju in Uredbo o delovni uspešnosti iz naslova povečanega obsega dela za javne uslužbence. Poleg tega pa je v nasprotju z Zakonom o organizaciji in financiranju vzgoje in izobraževanja sklepala tudi pogodbe o zaposlitvi za določen čas 3 let, čeprav za to niso bili izpolnjeni pogoji.</w:t>
      </w:r>
    </w:p>
    <w:p w14:paraId="21CC44C3" w14:textId="35DDF453" w:rsidR="003D1FAE" w:rsidRDefault="00A90E18" w:rsidP="00A90E18">
      <w:pPr>
        <w:pStyle w:val="RStekst"/>
      </w:pPr>
      <w:r w:rsidRPr="002A106F">
        <w:t xml:space="preserve">Šola med revizijskim postopkom ni odpravila vseh ugotovljenih nepravilnosti, zato je računsko sodišče zahtevalo </w:t>
      </w:r>
      <w:r w:rsidRPr="00182F6D">
        <w:rPr>
          <w:b/>
          <w:bCs w:val="0"/>
        </w:rPr>
        <w:t>predložitev odzivnega poročila</w:t>
      </w:r>
      <w:r w:rsidRPr="004D3405">
        <w:rPr>
          <w:b/>
          <w:bCs w:val="0"/>
        </w:rPr>
        <w:t>.</w:t>
      </w:r>
    </w:p>
    <w:p w14:paraId="5424E38D" w14:textId="77777777" w:rsidR="00C572B5" w:rsidRDefault="00C572B5" w:rsidP="003D1FAE">
      <w:pPr>
        <w:pStyle w:val="RStekst"/>
      </w:pPr>
    </w:p>
    <w:p w14:paraId="35897DF7" w14:textId="0CC4E187" w:rsidR="008629A2" w:rsidRDefault="008629A2" w:rsidP="008629A2">
      <w:pPr>
        <w:pStyle w:val="RStekst"/>
      </w:pPr>
      <w:r>
        <w:t xml:space="preserve">Ljubljana, </w:t>
      </w:r>
      <w:r w:rsidR="00A90E18">
        <w:t>1</w:t>
      </w:r>
      <w:r w:rsidR="00025F5E">
        <w:t>7</w:t>
      </w:r>
      <w:r w:rsidR="00A90E18">
        <w:t>. julija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30B8" w14:textId="77777777" w:rsidR="00D16AB4" w:rsidRPr="004A5DB0" w:rsidRDefault="00D16AB4" w:rsidP="00D16AB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4A5DB0">
      <w:rPr>
        <w:sz w:val="16"/>
        <w:szCs w:val="16"/>
      </w:rPr>
      <w:t xml:space="preserve">Računsko sodišče Republike Slovenije </w:t>
    </w:r>
    <w:r w:rsidRPr="004A5DB0">
      <w:rPr>
        <w:sz w:val="16"/>
        <w:szCs w:val="16"/>
      </w:rPr>
      <w:tab/>
      <w:t>T: 01 478 58 00</w:t>
    </w:r>
    <w:r w:rsidRPr="004A5DB0">
      <w:rPr>
        <w:sz w:val="16"/>
        <w:szCs w:val="16"/>
      </w:rPr>
      <w:br/>
    </w:r>
    <w:r w:rsidRPr="004A5DB0">
      <w:rPr>
        <w:noProof/>
        <w:sz w:val="16"/>
        <w:szCs w:val="16"/>
      </w:rPr>
      <w:drawing>
        <wp:anchor distT="0" distB="0" distL="114300" distR="114300" simplePos="0" relativeHeight="251659264" behindDoc="0" locked="1" layoutInCell="1" allowOverlap="1" wp14:anchorId="742DBC1A" wp14:editId="19962271">
          <wp:simplePos x="0" y="0"/>
          <wp:positionH relativeFrom="page">
            <wp:posOffset>561975</wp:posOffset>
          </wp:positionH>
          <wp:positionV relativeFrom="topMargin">
            <wp:posOffset>648970</wp:posOffset>
          </wp:positionV>
          <wp:extent cx="1896745" cy="320040"/>
          <wp:effectExtent l="0" t="0" r="8255" b="3810"/>
          <wp:wrapTopAndBottom/>
          <wp:docPr id="4" name="Slika 116" descr="Logotip računskega sodišč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116" descr="Logotip računskega sodišč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DB0">
      <w:rPr>
        <w:sz w:val="16"/>
        <w:szCs w:val="16"/>
      </w:rPr>
      <w:t>Slovenska cesta 50, 1000 Ljubljana</w:t>
    </w:r>
    <w:r w:rsidRPr="004A5DB0">
      <w:rPr>
        <w:sz w:val="16"/>
        <w:szCs w:val="16"/>
      </w:rPr>
      <w:tab/>
    </w:r>
    <w:r w:rsidRPr="004A5DB0">
      <w:rPr>
        <w:sz w:val="16"/>
        <w:szCs w:val="16"/>
      </w:rPr>
      <w:tab/>
      <w:t>E: sloaud@rs-rs.si</w:t>
    </w:r>
  </w:p>
  <w:p w14:paraId="302AC754" w14:textId="77777777" w:rsidR="00D16AB4" w:rsidRPr="00284348" w:rsidRDefault="00D16AB4" w:rsidP="00D16AB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4A5DB0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937010581">
    <w:abstractNumId w:val="18"/>
  </w:num>
  <w:num w:numId="2" w16cid:durableId="654838423">
    <w:abstractNumId w:val="11"/>
  </w:num>
  <w:num w:numId="3" w16cid:durableId="2079286492">
    <w:abstractNumId w:val="19"/>
    <w:lvlOverride w:ilvl="0">
      <w:startOverride w:val="1"/>
    </w:lvlOverride>
  </w:num>
  <w:num w:numId="4" w16cid:durableId="283776746">
    <w:abstractNumId w:val="22"/>
  </w:num>
  <w:num w:numId="5" w16cid:durableId="2030525095">
    <w:abstractNumId w:val="4"/>
  </w:num>
  <w:num w:numId="6" w16cid:durableId="1304121958">
    <w:abstractNumId w:val="16"/>
  </w:num>
  <w:num w:numId="7" w16cid:durableId="1322385748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99441687">
    <w:abstractNumId w:val="12"/>
  </w:num>
  <w:num w:numId="9" w16cid:durableId="740449822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492574146">
    <w:abstractNumId w:val="10"/>
  </w:num>
  <w:num w:numId="11" w16cid:durableId="2020697786">
    <w:abstractNumId w:val="1"/>
  </w:num>
  <w:num w:numId="12" w16cid:durableId="1173911049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182938839">
    <w:abstractNumId w:val="14"/>
  </w:num>
  <w:num w:numId="14" w16cid:durableId="157622600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2077127721">
    <w:abstractNumId w:val="9"/>
  </w:num>
  <w:num w:numId="16" w16cid:durableId="650838205">
    <w:abstractNumId w:val="17"/>
  </w:num>
  <w:num w:numId="17" w16cid:durableId="1191995635">
    <w:abstractNumId w:val="13"/>
  </w:num>
  <w:num w:numId="18" w16cid:durableId="2035157395">
    <w:abstractNumId w:val="21"/>
  </w:num>
  <w:num w:numId="19" w16cid:durableId="531378799">
    <w:abstractNumId w:val="2"/>
  </w:num>
  <w:num w:numId="20" w16cid:durableId="496959689">
    <w:abstractNumId w:val="7"/>
  </w:num>
  <w:num w:numId="21" w16cid:durableId="325594771">
    <w:abstractNumId w:val="3"/>
  </w:num>
  <w:num w:numId="22" w16cid:durableId="735977851">
    <w:abstractNumId w:val="23"/>
  </w:num>
  <w:num w:numId="23" w16cid:durableId="538052763">
    <w:abstractNumId w:val="6"/>
  </w:num>
  <w:num w:numId="24" w16cid:durableId="1396466425">
    <w:abstractNumId w:val="5"/>
  </w:num>
  <w:num w:numId="25" w16cid:durableId="2028561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4007309">
    <w:abstractNumId w:val="0"/>
  </w:num>
  <w:num w:numId="27" w16cid:durableId="95174089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5F5E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5203C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21BAD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90E18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16AB4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8056F"/>
    <w:rsid w:val="00E95B60"/>
    <w:rsid w:val="00EA4DD2"/>
    <w:rsid w:val="00EA6EA5"/>
    <w:rsid w:val="00ED4724"/>
    <w:rsid w:val="00EF47A6"/>
    <w:rsid w:val="00F1219B"/>
    <w:rsid w:val="00F21C31"/>
    <w:rsid w:val="00F229F3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www.w3.org/XML/1998/namespace"/>
    <ds:schemaRef ds:uri="http://purl.org/dc/terms/"/>
    <ds:schemaRef ds:uri="1e3d3dff-4392-4e99-aebd-c95b4ee1afdd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2025-07-09T10:59:00Z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