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1FF4031F" w:rsidR="008629A2" w:rsidRPr="00F4569E" w:rsidRDefault="008629A2" w:rsidP="008629A2">
      <w:pPr>
        <w:pStyle w:val="RSGLAVNINASLOV"/>
        <w:rPr>
          <w:spacing w:val="-2"/>
        </w:rPr>
      </w:pPr>
      <w:r w:rsidRPr="009176A9">
        <w:rPr>
          <w:spacing w:val="-2"/>
        </w:rPr>
        <w:t>Povzetek revizijskega poročila</w:t>
      </w:r>
      <w:r w:rsidR="004351C3">
        <w:rPr>
          <w:spacing w:val="-2"/>
        </w:rPr>
        <w:br/>
      </w:r>
      <w:r w:rsidR="009C659A" w:rsidRPr="009C659A">
        <w:rPr>
          <w:spacing w:val="-2"/>
        </w:rPr>
        <w:t xml:space="preserve">Zunanje izvajanje podpornih dejavnosti </w:t>
      </w:r>
      <w:r w:rsidR="009C659A">
        <w:rPr>
          <w:spacing w:val="-2"/>
        </w:rPr>
        <w:br/>
      </w:r>
      <w:r w:rsidR="009C659A" w:rsidRPr="009C659A">
        <w:rPr>
          <w:spacing w:val="-2"/>
        </w:rPr>
        <w:t>v SNG Opera in balet Ljubljana</w:t>
      </w:r>
    </w:p>
    <w:p w14:paraId="3A562EAB" w14:textId="77777777" w:rsidR="004351C3" w:rsidRPr="001034E1" w:rsidRDefault="004351C3" w:rsidP="004351C3">
      <w:pPr>
        <w:pStyle w:val="RStekst"/>
      </w:pPr>
      <w:r w:rsidRPr="006450FC">
        <w:t xml:space="preserve">Računsko sodišče </w:t>
      </w:r>
      <w:r>
        <w:t>izvaja prečno revizijo učinkovitosti zagotavljanja i</w:t>
      </w:r>
      <w:r w:rsidRPr="00A722DE">
        <w:t>zbranih podpornih dejavnosti, ki so jih v letu 2022 izvajali zunanji izvajalci, v 7 javnih zavodih, in sicer v</w:t>
      </w:r>
      <w:r>
        <w:t>:</w:t>
      </w:r>
      <w:r w:rsidRPr="00A722DE">
        <w:t xml:space="preserve"> Narodni in univerzitetni knjižnici, </w:t>
      </w:r>
      <w:r w:rsidRPr="001034E1">
        <w:rPr>
          <w:b/>
          <w:bCs w:val="0"/>
        </w:rPr>
        <w:t>Slovenskem narodnem gledališču Opera in balet Ljubljana</w:t>
      </w:r>
      <w:r>
        <w:rPr>
          <w:b/>
          <w:bCs w:val="0"/>
        </w:rPr>
        <w:t xml:space="preserve"> </w:t>
      </w:r>
      <w:r w:rsidRPr="001034E1">
        <w:t>(v nadaljevanju: zavod),</w:t>
      </w:r>
      <w:r w:rsidRPr="00A722DE">
        <w:t xml:space="preserve"> Splošni bolnišnici Celje, Univerzitetnem kliničnem centru Ljubljana, Zdravstvenem domu Ljubljana, </w:t>
      </w:r>
      <w:r w:rsidRPr="001034E1">
        <w:t>Univerzi v Ljubljani, Biotehniški fakulteti ter Univerzi v Ljubljani, Ekonomski fakulteti.</w:t>
      </w:r>
    </w:p>
    <w:p w14:paraId="17493941" w14:textId="77777777" w:rsidR="004351C3" w:rsidRPr="00231DCA" w:rsidRDefault="004351C3" w:rsidP="004351C3">
      <w:pPr>
        <w:pStyle w:val="RStekst"/>
      </w:pPr>
      <w:r w:rsidRPr="00F414B2">
        <w:rPr>
          <w:b/>
        </w:rPr>
        <w:t>Cilj revizije</w:t>
      </w:r>
      <w:r>
        <w:t xml:space="preserve"> je izrek mnenja o učinkovitosti revidiranih javnih zavodov </w:t>
      </w:r>
      <w:r w:rsidRPr="00660F0B">
        <w:t>pri zagotavljanj</w:t>
      </w:r>
      <w:r>
        <w:t xml:space="preserve">u izbranih podpornih dejavnosti, ki so jih </w:t>
      </w:r>
      <w:r w:rsidRPr="00660F0B">
        <w:t>v letu 2022</w:t>
      </w:r>
      <w:r>
        <w:t xml:space="preserve"> izvajali zunanji izvajalci. Računsko sodišče je podalo mnenje, da je bil zavod pri </w:t>
      </w:r>
      <w:r w:rsidRPr="004351C3">
        <w:t xml:space="preserve">tem </w:t>
      </w:r>
      <w:r w:rsidRPr="004351C3">
        <w:rPr>
          <w:rStyle w:val="RStekstBoldbarva"/>
          <w:rFonts w:eastAsiaTheme="minorEastAsia"/>
          <w:color w:val="auto"/>
        </w:rPr>
        <w:t>neučinkovit.</w:t>
      </w:r>
    </w:p>
    <w:p w14:paraId="6F263200" w14:textId="77777777" w:rsidR="004351C3" w:rsidRDefault="004351C3" w:rsidP="004351C3">
      <w:pPr>
        <w:pStyle w:val="RStekst"/>
      </w:pPr>
      <w:r w:rsidRPr="00CE14F7">
        <w:t>Zavod pred sprejemom odločitv</w:t>
      </w:r>
      <w:r>
        <w:t>e</w:t>
      </w:r>
      <w:r w:rsidRPr="00CE14F7">
        <w:t xml:space="preserve"> o oddaji storitev čiščenja, varovanja in odnosov z javnostmi ni izdelal ustreznih analiz, s katerimi bi podprl odločitev za oddajo storitev zunanjim izvajalc</w:t>
      </w:r>
      <w:r w:rsidRPr="00E475CC">
        <w:t>em,</w:t>
      </w:r>
      <w:r>
        <w:t xml:space="preserve"> in ni izkazal, da je zunanje izvajanje teh storitev učinkovitejše kot izvajanje z notranjimi viri. </w:t>
      </w:r>
    </w:p>
    <w:p w14:paraId="27591D77" w14:textId="77777777" w:rsidR="004351C3" w:rsidRPr="00177E06" w:rsidRDefault="004351C3" w:rsidP="004351C3">
      <w:pPr>
        <w:pStyle w:val="RStekst"/>
      </w:pPr>
      <w:r w:rsidRPr="00CE14F7">
        <w:t xml:space="preserve">Pred pripravo javnih naročil za storitve čiščenja in varovanja ter odnosov z javnostmi </w:t>
      </w:r>
      <w:r>
        <w:t>zavod</w:t>
      </w:r>
      <w:r w:rsidRPr="00CE14F7">
        <w:t xml:space="preserve"> ni</w:t>
      </w:r>
      <w:r>
        <w:t> </w:t>
      </w:r>
      <w:r w:rsidRPr="00CE14F7">
        <w:t xml:space="preserve">raziskal stanja na trgu. </w:t>
      </w:r>
      <w:r>
        <w:t>Načina i</w:t>
      </w:r>
      <w:r w:rsidRPr="004014A4">
        <w:t>zračun</w:t>
      </w:r>
      <w:r>
        <w:t>a</w:t>
      </w:r>
      <w:r w:rsidRPr="004014A4">
        <w:t xml:space="preserve"> ocenjen</w:t>
      </w:r>
      <w:r>
        <w:t>e</w:t>
      </w:r>
      <w:r w:rsidRPr="004014A4">
        <w:t xml:space="preserve"> vrednosti javn</w:t>
      </w:r>
      <w:r>
        <w:t>ega</w:t>
      </w:r>
      <w:r w:rsidRPr="004014A4">
        <w:t xml:space="preserve"> naročil</w:t>
      </w:r>
      <w:r>
        <w:t>a</w:t>
      </w:r>
      <w:r w:rsidRPr="004014A4">
        <w:t xml:space="preserve"> čiščenja</w:t>
      </w:r>
      <w:r>
        <w:t xml:space="preserve"> in</w:t>
      </w:r>
      <w:r w:rsidRPr="004014A4">
        <w:t xml:space="preserve"> varovanja ni</w:t>
      </w:r>
      <w:r>
        <w:t xml:space="preserve"> </w:t>
      </w:r>
      <w:r w:rsidRPr="004014A4">
        <w:t>bilo mogoče potrditi</w:t>
      </w:r>
      <w:r>
        <w:t xml:space="preserve">, v ocenjenih vrednostih obeh vrst storitev pa tudi niso bile upoštevane vse istovrstne storitve. Pri izbiri izvajalca pretežnega dela storitev čiščenja in varovanja je zavod izbral ustrezno vrsto postopka, zagotovil preglednost postopka in enakopravno obravnavo ponudnikov, </w:t>
      </w:r>
      <w:r w:rsidRPr="001B0770">
        <w:t xml:space="preserve">tehnične specifikacije, merila in pogoje v razpisni dokumentaciji </w:t>
      </w:r>
      <w:r>
        <w:t xml:space="preserve">pa je </w:t>
      </w:r>
      <w:r w:rsidRPr="001B0770">
        <w:t xml:space="preserve">oblikoval tako, da so zagotavljali gospodarno in učinkovito porabo javnih sredstev ter upoštevanje vseh ostalih načel javnega naročanja. </w:t>
      </w:r>
      <w:r>
        <w:t>P</w:t>
      </w:r>
      <w:r w:rsidRPr="00103A03">
        <w:t xml:space="preserve">ri izbiri izvajalca storitev s področja odnosov z javnostmi </w:t>
      </w:r>
      <w:r>
        <w:t xml:space="preserve">pa zavod ni sledil </w:t>
      </w:r>
      <w:r w:rsidRPr="007D1D8E">
        <w:t>zahtevi</w:t>
      </w:r>
      <w:r>
        <w:t xml:space="preserve"> po</w:t>
      </w:r>
      <w:r w:rsidRPr="007D1D8E">
        <w:t xml:space="preserve"> upošteva</w:t>
      </w:r>
      <w:r>
        <w:t>nju</w:t>
      </w:r>
      <w:r w:rsidRPr="007D1D8E">
        <w:t xml:space="preserve"> načel gospodarnosti, učinkovitosti in uspešnosti</w:t>
      </w:r>
      <w:r>
        <w:t>, saj je pridobil le ponudbo izbranega izvajalca, zaradi istovrstnosti storitev ter zaradi večletnega rednega ponavljanja javnih naročil storitev, oddanih vedno istemu izvajalcu, pa bi bilo najbolj ustrezno, če bi zavod izvajalca storitev izbral v katerem od bolj transparentnih postopkov, ki jih določa zakon. Zavod ni izkazal, da je z objavo seznama evidenčnih javnih naročil, oddanih v letu 2022, na portalu javnih naročil zagotovil preglednost izvajanja evidenčnih javnih naročil i</w:t>
      </w:r>
      <w:r w:rsidRPr="00C82B00">
        <w:t xml:space="preserve">n s tem dostop do </w:t>
      </w:r>
      <w:r w:rsidRPr="00177E06">
        <w:t>informacij o oddanih evidenčnih javnih naročilih.</w:t>
      </w:r>
    </w:p>
    <w:p w14:paraId="20CC34A0" w14:textId="77777777" w:rsidR="004351C3" w:rsidRPr="006637A1" w:rsidRDefault="004351C3" w:rsidP="004351C3">
      <w:pPr>
        <w:pStyle w:val="RStekst"/>
      </w:pPr>
      <w:r w:rsidRPr="00177E06">
        <w:t xml:space="preserve">Zavod ni zagotovil socialno odgovornega javnega naročanja, saj se pred sprejemom odločitve o </w:t>
      </w:r>
      <w:r>
        <w:t>oddaji</w:t>
      </w:r>
      <w:r w:rsidRPr="00177E06">
        <w:t xml:space="preserve"> javnega naročila z izbranim ponudnikom storitev čiščenja oziroma varovanja ni prepričal o morebitnem obstoju nekaterih relevantnih okoliščin, povezanih z nespoštovanjem delovne in socialne zakonodaje</w:t>
      </w:r>
      <w:r>
        <w:t>, m</w:t>
      </w:r>
      <w:r w:rsidRPr="00A50D11">
        <w:t xml:space="preserve">ed merila </w:t>
      </w:r>
      <w:r>
        <w:t xml:space="preserve">pa kljub izrecni zakonski zahtevi </w:t>
      </w:r>
      <w:r w:rsidRPr="00A50D11">
        <w:t>ni vključil takšnih, ki bi zasledovala socialne vidike</w:t>
      </w:r>
      <w:r>
        <w:t>.</w:t>
      </w:r>
      <w:r w:rsidRPr="00177E06">
        <w:t xml:space="preserve"> </w:t>
      </w:r>
      <w:r>
        <w:t>V</w:t>
      </w:r>
      <w:r w:rsidRPr="00177E06">
        <w:t xml:space="preserve"> primeru ugotovljenih okoliščin, ki se nanašajo na socialne vidike</w:t>
      </w:r>
      <w:r w:rsidRPr="001B4C4C">
        <w:rPr>
          <w:color w:val="000000" w:themeColor="text1"/>
        </w:rPr>
        <w:t>, si je sicer zagotovil podlago za prekinitev pogodb, ve</w:t>
      </w:r>
      <w:r w:rsidRPr="00177E06">
        <w:t xml:space="preserve">ndar </w:t>
      </w:r>
      <w:r>
        <w:t xml:space="preserve">pa </w:t>
      </w:r>
      <w:r w:rsidRPr="00177E06">
        <w:t xml:space="preserve">po preteku določenega časa ni preveril, ali morda </w:t>
      </w:r>
      <w:r w:rsidRPr="00177E06">
        <w:lastRenderedPageBreak/>
        <w:t xml:space="preserve">niso nastopile okoliščine za razvezo pogodbe. Zavod tudi ni omejil tveganja, da storitve čiščenja in varovanja ne bi bile izvedene oziroma ne bi bile izvedene dovolj </w:t>
      </w:r>
      <w:r>
        <w:t>kakovostno,</w:t>
      </w:r>
      <w:r w:rsidRPr="00423C43">
        <w:t xml:space="preserve"> niti ni vsaj poskusil zagotoviti boljših in bolj varnih delovnih pogojev delavcem za daljše obdobje</w:t>
      </w:r>
      <w:r>
        <w:t xml:space="preserve">, </w:t>
      </w:r>
      <w:r w:rsidRPr="00E10B1F">
        <w:t>je pa ravnanje v smeri socialne odgovornosti izkazal s tem, da je zahtev</w:t>
      </w:r>
      <w:r>
        <w:t>al</w:t>
      </w:r>
      <w:r w:rsidRPr="00E10B1F">
        <w:t xml:space="preserve"> staln</w:t>
      </w:r>
      <w:r>
        <w:t>o</w:t>
      </w:r>
      <w:r w:rsidRPr="00E10B1F">
        <w:t xml:space="preserve"> ekip</w:t>
      </w:r>
      <w:r>
        <w:t>o</w:t>
      </w:r>
      <w:r w:rsidRPr="00E10B1F">
        <w:t xml:space="preserve"> čistilcev </w:t>
      </w:r>
      <w:r>
        <w:t>ter redno zaposlitev izvajalcev</w:t>
      </w:r>
      <w:r w:rsidRPr="00E10B1F">
        <w:t xml:space="preserve"> čiščenja in varovanja</w:t>
      </w:r>
      <w:r>
        <w:t>.</w:t>
      </w:r>
    </w:p>
    <w:p w14:paraId="21CC44C3" w14:textId="2945E430" w:rsidR="003D1FAE" w:rsidRDefault="004351C3" w:rsidP="004351C3">
      <w:pPr>
        <w:pStyle w:val="RStekst"/>
      </w:pPr>
      <w:r w:rsidRPr="00177E06">
        <w:t xml:space="preserve">Računsko sodišče je za odpravo razkritih nesmotrnosti od zavoda zahtevalo </w:t>
      </w:r>
      <w:r w:rsidRPr="00177E06">
        <w:rPr>
          <w:b/>
          <w:bCs w:val="0"/>
        </w:rPr>
        <w:t>predložitev odzivnega poročila</w:t>
      </w:r>
      <w:r w:rsidRPr="00177E06">
        <w:t xml:space="preserve"> in mu podalo tudi </w:t>
      </w:r>
      <w:r w:rsidRPr="00177E06">
        <w:rPr>
          <w:b/>
          <w:bCs w:val="0"/>
        </w:rPr>
        <w:t>priporočila</w:t>
      </w:r>
      <w:r w:rsidRPr="00177E06">
        <w:t xml:space="preserve"> za učinkovitejše zagotavljanje podpornih</w:t>
      </w:r>
      <w:r>
        <w:t xml:space="preserve"> dejavnosti.</w:t>
      </w:r>
    </w:p>
    <w:p w14:paraId="5424E38D" w14:textId="77777777" w:rsidR="00C572B5" w:rsidRDefault="00C572B5" w:rsidP="003D1FAE">
      <w:pPr>
        <w:pStyle w:val="RStekst"/>
      </w:pPr>
    </w:p>
    <w:p w14:paraId="35897DF7" w14:textId="248C71C7" w:rsidR="008629A2" w:rsidRDefault="008629A2" w:rsidP="008629A2">
      <w:pPr>
        <w:pStyle w:val="RStekst"/>
      </w:pPr>
      <w:r>
        <w:t xml:space="preserve">Ljubljana, </w:t>
      </w:r>
      <w:r w:rsidR="004351C3">
        <w:t>17. februarja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029799777">
    <w:abstractNumId w:val="18"/>
  </w:num>
  <w:num w:numId="2" w16cid:durableId="2120293797">
    <w:abstractNumId w:val="11"/>
  </w:num>
  <w:num w:numId="3" w16cid:durableId="1169977477">
    <w:abstractNumId w:val="19"/>
    <w:lvlOverride w:ilvl="0">
      <w:startOverride w:val="1"/>
    </w:lvlOverride>
  </w:num>
  <w:num w:numId="4" w16cid:durableId="849412721">
    <w:abstractNumId w:val="22"/>
  </w:num>
  <w:num w:numId="5" w16cid:durableId="355346727">
    <w:abstractNumId w:val="4"/>
  </w:num>
  <w:num w:numId="6" w16cid:durableId="520625284">
    <w:abstractNumId w:val="16"/>
  </w:num>
  <w:num w:numId="7" w16cid:durableId="1245531426">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993748945">
    <w:abstractNumId w:val="12"/>
  </w:num>
  <w:num w:numId="9" w16cid:durableId="864947327">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455608352">
    <w:abstractNumId w:val="10"/>
  </w:num>
  <w:num w:numId="11" w16cid:durableId="2140803696">
    <w:abstractNumId w:val="1"/>
  </w:num>
  <w:num w:numId="12" w16cid:durableId="1594782929">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216551261">
    <w:abstractNumId w:val="14"/>
  </w:num>
  <w:num w:numId="14" w16cid:durableId="1147236217">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974939035">
    <w:abstractNumId w:val="9"/>
  </w:num>
  <w:num w:numId="16" w16cid:durableId="1460297430">
    <w:abstractNumId w:val="17"/>
  </w:num>
  <w:num w:numId="17" w16cid:durableId="938755084">
    <w:abstractNumId w:val="13"/>
  </w:num>
  <w:num w:numId="18" w16cid:durableId="443576776">
    <w:abstractNumId w:val="21"/>
  </w:num>
  <w:num w:numId="19" w16cid:durableId="930505065">
    <w:abstractNumId w:val="2"/>
  </w:num>
  <w:num w:numId="20" w16cid:durableId="34932175">
    <w:abstractNumId w:val="7"/>
  </w:num>
  <w:num w:numId="21" w16cid:durableId="13382413">
    <w:abstractNumId w:val="3"/>
  </w:num>
  <w:num w:numId="22" w16cid:durableId="1635404536">
    <w:abstractNumId w:val="23"/>
  </w:num>
  <w:num w:numId="23" w16cid:durableId="2111467040">
    <w:abstractNumId w:val="6"/>
  </w:num>
  <w:num w:numId="24" w16cid:durableId="275673301">
    <w:abstractNumId w:val="5"/>
  </w:num>
  <w:num w:numId="25" w16cid:durableId="10632180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5417204">
    <w:abstractNumId w:val="0"/>
  </w:num>
  <w:num w:numId="27" w16cid:durableId="114924547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1C3"/>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1C0"/>
    <w:rsid w:val="005E0F21"/>
    <w:rsid w:val="00624347"/>
    <w:rsid w:val="0063074E"/>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C659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1e3d3dff-4392-4e99-aebd-c95b4ee1a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3244</Characters>
  <Application>Microsoft Office Word</Application>
  <DocSecurity>0</DocSecurity>
  <Lines>49</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2025-02-17T10:34:00Z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