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6FB67A17" w:rsidR="008629A2" w:rsidRPr="00F4569E" w:rsidRDefault="008629A2" w:rsidP="008629A2">
      <w:pPr>
        <w:pStyle w:val="RSGLAVNINASLOV"/>
        <w:rPr>
          <w:spacing w:val="-2"/>
        </w:rPr>
      </w:pPr>
      <w:r w:rsidRPr="009176A9">
        <w:rPr>
          <w:spacing w:val="-2"/>
        </w:rPr>
        <w:t>Povzetek revizijskega poročila</w:t>
      </w:r>
      <w:r w:rsidR="00DE46C7">
        <w:rPr>
          <w:spacing w:val="-2"/>
        </w:rPr>
        <w:br/>
      </w:r>
      <w:r w:rsidR="00DE46C7" w:rsidRPr="00DE46C7">
        <w:rPr>
          <w:spacing w:val="-2"/>
        </w:rPr>
        <w:t>Pravilnost dela poslovanja Občine Škofljica</w:t>
      </w:r>
      <w:r w:rsidRPr="009176A9">
        <w:rPr>
          <w:spacing w:val="-2"/>
        </w:rPr>
        <w:t xml:space="preserve"> </w:t>
      </w:r>
    </w:p>
    <w:p w14:paraId="21B93E72" w14:textId="77777777" w:rsidR="00DE46C7" w:rsidRPr="00654E2F" w:rsidRDefault="00DE46C7" w:rsidP="00DE46C7">
      <w:pPr>
        <w:pStyle w:val="RStekst"/>
      </w:pPr>
      <w:r w:rsidRPr="00654E2F">
        <w:t xml:space="preserve">Računsko sodišče je revidiralo pravilnost poslovanja </w:t>
      </w:r>
      <w:r w:rsidRPr="00654E2F">
        <w:rPr>
          <w:b/>
          <w:bCs w:val="0"/>
        </w:rPr>
        <w:t>Občine Škofljica</w:t>
      </w:r>
      <w:r w:rsidRPr="00654E2F">
        <w:t xml:space="preserve"> v letu 2023</w:t>
      </w:r>
      <w:r w:rsidRPr="00654E2F">
        <w:rPr>
          <w:b/>
        </w:rPr>
        <w:t xml:space="preserve">. </w:t>
      </w:r>
      <w:r w:rsidRPr="00654E2F">
        <w:rPr>
          <w:bCs w:val="0"/>
        </w:rPr>
        <w:t xml:space="preserve">Cilj revizije je bil izrek mnenja o pravilnosti poslovanja Občine Škofljica v letu 2023 v delu, ki se nanaša </w:t>
      </w:r>
      <w:r w:rsidRPr="00654E2F">
        <w:t xml:space="preserve">na plače in druge izdatke zaposlenim, vzdrževanje občinskih cest, javna naročila pri investicijskih odhodkih, tekoče transfere nepridobitnim organizacijam in ustanovam ter druga področja poslovanja (notranja revizija, odhodki za svetovalne storitve na področju odnosov z javnostmi in za delo po </w:t>
      </w:r>
      <w:proofErr w:type="spellStart"/>
      <w:r w:rsidRPr="00654E2F">
        <w:t>podjemnih</w:t>
      </w:r>
      <w:proofErr w:type="spellEnd"/>
      <w:r w:rsidRPr="00654E2F">
        <w:t xml:space="preserve"> pogodbah, odhodki za dobavo novoletnih okraskov in </w:t>
      </w:r>
      <w:r>
        <w:t>LED-</w:t>
      </w:r>
      <w:r w:rsidRPr="00654E2F">
        <w:t>verig).</w:t>
      </w:r>
    </w:p>
    <w:p w14:paraId="5A9D4D04" w14:textId="77777777" w:rsidR="00DE46C7" w:rsidRPr="00654E2F" w:rsidRDefault="00DE46C7" w:rsidP="00DE46C7">
      <w:pPr>
        <w:pStyle w:val="RStekst"/>
      </w:pPr>
      <w:r w:rsidRPr="00654E2F">
        <w:t xml:space="preserve">Računsko sodišče je o pravilnosti dela poslovanja Občine Škofljica v letu 2023 </w:t>
      </w:r>
      <w:r w:rsidRPr="00DE46C7">
        <w:t xml:space="preserve">izreklo </w:t>
      </w:r>
      <w:r w:rsidRPr="00DE46C7">
        <w:rPr>
          <w:rStyle w:val="RStekstBoldbarva"/>
          <w:color w:val="auto"/>
        </w:rPr>
        <w:t>negativno mnenje,</w:t>
      </w:r>
      <w:r w:rsidRPr="00DE46C7">
        <w:t xml:space="preserve"> </w:t>
      </w:r>
      <w:r w:rsidRPr="00654E2F">
        <w:t>ker občina ni poslovala v skladu s predpisi, pogodbenimi določili in določili objave javnega poziva v naslednjih primerih:</w:t>
      </w:r>
    </w:p>
    <w:p w14:paraId="5FA075BB" w14:textId="77777777" w:rsidR="00DE46C7" w:rsidRPr="00654E2F" w:rsidRDefault="00DE46C7" w:rsidP="00DE46C7">
      <w:pPr>
        <w:pStyle w:val="RSnatevanje"/>
        <w:keepLines w:val="0"/>
        <w:tabs>
          <w:tab w:val="num" w:pos="397"/>
        </w:tabs>
        <w:spacing w:after="80"/>
      </w:pPr>
      <w:r w:rsidRPr="00654E2F">
        <w:t>v kadrovskem načrtu za leti 2023 in 2024 ni navedla vrste delovnih mest v kabinetu za določen čas; javnemu uslužbencu je obračunala in izplačala preveč dodatka za delovno dobo v skupnem znesku 35</w:t>
      </w:r>
      <w:r>
        <w:t> </w:t>
      </w:r>
      <w:r w:rsidRPr="00654E2F">
        <w:t>EUR, 2 javnima uslužbencema je obračunala in izplačala preveč dodatka za delo preko polnega delovnega časa v skupnem znesku 242 EUR, 1 javni uslužbenki je obračunala in izplačala preveč dodatka za delo v nedeljo v znesku 181 EUR; del plače za delovno uspešnost direktorja občinske uprave je bil obračunan v okviru obsega sredstev za ta namen, ni pa bil določen na podlagi ustreznih meril;</w:t>
      </w:r>
    </w:p>
    <w:p w14:paraId="29D17AA0" w14:textId="77777777" w:rsidR="00DE46C7" w:rsidRPr="00654E2F" w:rsidRDefault="00DE46C7" w:rsidP="00DE46C7">
      <w:pPr>
        <w:pStyle w:val="RSnatevanje"/>
        <w:keepLines w:val="0"/>
        <w:tabs>
          <w:tab w:val="num" w:pos="397"/>
        </w:tabs>
        <w:spacing w:after="80"/>
      </w:pPr>
      <w:r w:rsidRPr="00654E2F">
        <w:t xml:space="preserve">vzdrževanja občinskih cest ne zagotavlja s podelitvijo koncesije (v letu 2023 je izvajalcu izplačala 759.113 EUR); iz dokumentacije o javnem naročilu ni razviden način izračuna ocenjene vrednosti z vsemi količinskimi in cenovnimi parametri; z določitvijo merila "oddaljenost od pokrite baze" in načinom njegove uporabe ni zagotovila učinkovite konkurence, ustvarila pa je tudi okoliščine za krajevno diskriminacijo ponudnikov; ni sklenila aneksa k pogodbi za vzdrževanje cest, s katerim bi </w:t>
      </w:r>
      <w:r w:rsidRPr="00902F4A">
        <w:t>dogovorila</w:t>
      </w:r>
      <w:r w:rsidRPr="00654E2F">
        <w:t xml:space="preserve"> višino zagotovljenih sredstev in obseg vzdrževanja občinskih cest za leto 2023; ni pripravila terminskega plana izvajanja storitev in ni izkazala, da je izvajalcu sporočila višino zagotovljenih sredstev za namen vzdrževanja cest za leto 2023, novo finančno zavarovanje za dobro izvedbo pogodbenih obveznosti je pridobila prepozno ter ni unovčila finančnega zavarovanja za dobro izvedbo pogodbenih obveznosti, s katerim je razpolagala, ni pridobila zavarovalne police za odgovornost za škodo za celo leto 2023; pogodbo za vzdrževanje cest je na spletnih straneh, ki so namenjene izvajanju elektronskega javnega naročanja, objavila prepozno; ni pripravila plana razvoja in vzdrževanja občinskih cest za obdobje najmanj 4 let; seznam večjih vzdrževalnih del na cestah za leto 2023 ne vsebuje vseh podatkov</w:t>
      </w:r>
      <w:r>
        <w:t>,</w:t>
      </w:r>
      <w:r w:rsidRPr="00654E2F">
        <w:t xml:space="preserve"> kot jih za letni plan rednega vzdrževanja cest določa Pravilnik o rednem vzdrževanju javnih cest, </w:t>
      </w:r>
      <w:r w:rsidRPr="00654E2F">
        <w:rPr>
          <w:rFonts w:cstheme="majorHAnsi"/>
          <w:iCs/>
          <w:szCs w:val="17"/>
          <w:lang w:eastAsia="sl-SI"/>
        </w:rPr>
        <w:t xml:space="preserve">posledično pa tudi proračun za leto 2023 ni popoln; </w:t>
      </w:r>
      <w:r w:rsidRPr="00654E2F">
        <w:t xml:space="preserve">izvedbenega programa rednega vzdrževanja cest za leto 2023 ni pridobila v potrditev, iz predložene dokumentacije ni razvidno, da je potrdila izvedbeni program zimske službe za </w:t>
      </w:r>
      <w:r w:rsidRPr="00CC43DF">
        <w:t>zimsko</w:t>
      </w:r>
      <w:r w:rsidRPr="00654E2F">
        <w:t xml:space="preserve"> sezono</w:t>
      </w:r>
      <w:r>
        <w:t> </w:t>
      </w:r>
      <w:r w:rsidRPr="00654E2F">
        <w:t xml:space="preserve">2022/2023 in izvedbeni program zimske službe za sezono 2023/2024; obrazložitve proračuna občine za leto 2023 in </w:t>
      </w:r>
      <w:r w:rsidRPr="00654E2F">
        <w:lastRenderedPageBreak/>
        <w:t>poročilo o doseženih ciljih in rezultatih za leto 2023 v delu, ki se nanaša na vzdrževanje občinskih cest, niso popolni;</w:t>
      </w:r>
    </w:p>
    <w:p w14:paraId="645A10FB" w14:textId="77777777" w:rsidR="00DE46C7" w:rsidRPr="00654E2F" w:rsidRDefault="00DE46C7" w:rsidP="00DE46C7">
      <w:pPr>
        <w:pStyle w:val="RSnatevanje"/>
        <w:keepLines w:val="0"/>
        <w:tabs>
          <w:tab w:val="num" w:pos="397"/>
        </w:tabs>
        <w:spacing w:after="80"/>
      </w:pPr>
      <w:r w:rsidRPr="00654E2F">
        <w:t xml:space="preserve">v 2 primerih je </w:t>
      </w:r>
      <w:r w:rsidRPr="00654E2F">
        <w:rPr>
          <w:lang w:eastAsia="sl-SI"/>
        </w:rPr>
        <w:t>dokument</w:t>
      </w:r>
      <w:r w:rsidRPr="00654E2F">
        <w:t xml:space="preserve"> identifikacije investicijskega projekta oziroma poenostavljeno investicijsko dokumentacijo pridobila oziroma pripravila prepozno (v letu 2023 je izvajalcema plačala skupaj 604.075 EUR), v </w:t>
      </w:r>
      <w:r w:rsidRPr="00654E2F">
        <w:rPr>
          <w:lang w:eastAsia="sl-SI"/>
        </w:rPr>
        <w:t>1 primeru pa pred uvrstitvijo projekta v načrt razvojnih programov ni pripravila dokumenta</w:t>
      </w:r>
      <w:r w:rsidRPr="00654E2F">
        <w:t xml:space="preserve"> identifikacije investicijskega projekta oziroma poenostavljene investicijske dokumentacije (v letu 2023 je izvajalki plačala 19.418 EUR); s</w:t>
      </w:r>
      <w:r>
        <w:t> </w:t>
      </w:r>
      <w:r w:rsidRPr="00654E2F">
        <w:t>sklenitvijo 2 pogodb je prevzela za skupaj 245.004 EUR obveznosti (v letu 2023 je izvajalcema plačala skupaj 1.278.748 EUR), za kater</w:t>
      </w:r>
      <w:r>
        <w:t>e</w:t>
      </w:r>
      <w:r w:rsidRPr="00654E2F">
        <w:t xml:space="preserve"> ni imela zagotovljenih sredstev v rebalansu proračuna občine za leto 2022 ob prevzemu obveznosti; v 2 primerih prejetih ponudb, ki sta</w:t>
      </w:r>
      <w:r w:rsidRPr="00654E2F" w:rsidDel="00152E24">
        <w:t xml:space="preserve"> </w:t>
      </w:r>
      <w:r w:rsidRPr="00654E2F">
        <w:t>presegali zagotovljena sredstva v rebalansu proračuna občine za leto 2022, ni izločila kot nedopustnih (v</w:t>
      </w:r>
      <w:r>
        <w:t> </w:t>
      </w:r>
      <w:r w:rsidRPr="00654E2F">
        <w:t>letu</w:t>
      </w:r>
      <w:r>
        <w:t> </w:t>
      </w:r>
      <w:r w:rsidRPr="00654E2F">
        <w:t xml:space="preserve">2023 je izvajalcema plačala skupaj 1.278.748 EUR), v 1 primeru je sklenila aneks, </w:t>
      </w:r>
      <w:r w:rsidRPr="00654E2F">
        <w:rPr>
          <w:rFonts w:cstheme="majorHAnsi"/>
          <w:szCs w:val="17"/>
        </w:rPr>
        <w:t>s katerim se je med drugim dogovorila za dodatna dela, ne da bi ustrezno utemeljila in dokumentirala razloge za spremembo pogodbe (v letu 2023 je izvajalcu za dodatna dela plačala najmanj 27.983</w:t>
      </w:r>
      <w:r>
        <w:rPr>
          <w:rFonts w:cstheme="majorHAnsi"/>
          <w:szCs w:val="17"/>
        </w:rPr>
        <w:t> </w:t>
      </w:r>
      <w:r w:rsidRPr="00654E2F">
        <w:rPr>
          <w:rFonts w:cstheme="majorHAnsi"/>
          <w:szCs w:val="17"/>
        </w:rPr>
        <w:t>EUR),</w:t>
      </w:r>
      <w:r w:rsidRPr="00654E2F">
        <w:t xml:space="preserve"> </w:t>
      </w:r>
      <w:r w:rsidRPr="00654E2F">
        <w:rPr>
          <w:lang w:eastAsia="sl-SI"/>
        </w:rPr>
        <w:t xml:space="preserve">v 2 primerih </w:t>
      </w:r>
      <w:r w:rsidRPr="00654E2F">
        <w:t xml:space="preserve">neizbranih ponudnikov ni pisno obvestila o izboru; </w:t>
      </w:r>
      <w:r w:rsidRPr="00654E2F">
        <w:rPr>
          <w:lang w:eastAsia="sl-SI"/>
        </w:rPr>
        <w:t>v 5</w:t>
      </w:r>
      <w:r>
        <w:rPr>
          <w:lang w:eastAsia="sl-SI"/>
        </w:rPr>
        <w:t> </w:t>
      </w:r>
      <w:r w:rsidRPr="00654E2F">
        <w:rPr>
          <w:lang w:eastAsia="sl-SI"/>
        </w:rPr>
        <w:t>primerih je na portalu javnih naročil elektronske kopije aneksov k pogodbi objavila prepozno</w:t>
      </w:r>
      <w:r w:rsidRPr="00654E2F">
        <w:t xml:space="preserve">; </w:t>
      </w:r>
      <w:r w:rsidRPr="00654E2F">
        <w:rPr>
          <w:lang w:eastAsia="sl-SI"/>
        </w:rPr>
        <w:t>v 1 primeru je naročilnico izdala po tem, ko je bilo blago že dobavljeno (v letu 2023 je izvajalcu plačala 16.592</w:t>
      </w:r>
      <w:r>
        <w:rPr>
          <w:lang w:eastAsia="sl-SI"/>
        </w:rPr>
        <w:t> </w:t>
      </w:r>
      <w:r w:rsidRPr="00654E2F">
        <w:rPr>
          <w:lang w:eastAsia="sl-SI"/>
        </w:rPr>
        <w:t>EUR); v 8 primerih v naročilnico ni vključila protikorupcijske klavzule;</w:t>
      </w:r>
    </w:p>
    <w:p w14:paraId="6E4A6A9C" w14:textId="77777777" w:rsidR="00DE46C7" w:rsidRPr="00654E2F" w:rsidRDefault="00DE46C7" w:rsidP="00DE46C7">
      <w:pPr>
        <w:pStyle w:val="RSnatevanje"/>
        <w:keepLines w:val="0"/>
        <w:tabs>
          <w:tab w:val="num" w:pos="397"/>
        </w:tabs>
        <w:spacing w:after="80"/>
      </w:pPr>
      <w:r w:rsidRPr="00654E2F">
        <w:t>javnega razpisa za nadpovprečne športne dosežke ni objavila v uradnem glasilu lokalne skupnosti oziroma v Uradnem listu RS</w:t>
      </w:r>
      <w:r w:rsidRPr="00654E2F">
        <w:rPr>
          <w:lang w:eastAsia="sl-SI"/>
        </w:rPr>
        <w:t xml:space="preserve">; </w:t>
      </w:r>
      <w:r w:rsidRPr="00654E2F">
        <w:t xml:space="preserve">predsednik in člani komisije, imenovani za vodenje postopka javnega razpisa na področju športa in javnega razpisa za nadpovprečne športne dosežke, niso podpisali izjave o prepovedi interesne povezanosti; zapisnik o odpiranju vlog v postopku javnega razpisa na področju športa ne vsebuje vseh predpisanih vsebin; </w:t>
      </w:r>
      <w:r w:rsidRPr="00654E2F">
        <w:rPr>
          <w:lang w:eastAsia="sl-SI"/>
        </w:rPr>
        <w:t xml:space="preserve">komisija, imenovana za vodenje postopka javnega razpisa na področju športa, v zapisniku o ocenjevanju in vrednotenju vlog ni navedla vseh predpisanih vsebin, </w:t>
      </w:r>
      <w:r w:rsidRPr="00654E2F">
        <w:t xml:space="preserve">komisija, imenovana za vodenje postopka javnega poziva za županova sredstva, pa ni pripravila zapisnika o odpiranju vlog in zapisnika o ocenjevanju vlog; </w:t>
      </w:r>
      <w:r w:rsidRPr="00C85C0B">
        <w:t>1</w:t>
      </w:r>
      <w:r w:rsidRPr="00654E2F">
        <w:t xml:space="preserve"> izvajalcu športnih programov je dodelila in izplačala sredstva v znesku 6.200</w:t>
      </w:r>
      <w:r>
        <w:t> </w:t>
      </w:r>
      <w:r w:rsidRPr="00654E2F">
        <w:t xml:space="preserve">EUR, ne da bi izvedla javni razpis; član komisije, imenovan za vodenje postopka javnega razpisa na področju športa, in predsednik komisije, imenovan za vodenje postopka javnega razpisa za nadpovprečne športne dosežke, nista podpisala zapisnikov o odpiranju vlog; ni sprejela lokalnega programa za kulturo za obdobje 4 let </w:t>
      </w:r>
      <w:r w:rsidRPr="00654E2F">
        <w:rPr>
          <w:lang w:eastAsia="sl-SI"/>
        </w:rPr>
        <w:t>ali dokumenta razvojnega načrtovanja lokalne skupnosti, v katerem bi opredelila javni interes na področju kulture, prioritete, ukrepe ter cilje in kazalce za njihovo doseganje</w:t>
      </w:r>
      <w:r w:rsidRPr="00654E2F">
        <w:t xml:space="preserve">; </w:t>
      </w:r>
      <w:r w:rsidRPr="00654E2F">
        <w:rPr>
          <w:lang w:eastAsia="sl-SI"/>
        </w:rPr>
        <w:t>ni javno objavila Meril za vrednotenje programov društev, neprofitnih in humanitarnih organizacij v Občini Škofljica; 4 vlog v postopku javnega razpisa za sofinanciranje programov ni s sklepom zavrgla, posledično pa razpoložljiva sredstva javnega razpisa za sofinanciranje programov niso bila pravilno razdeljena (izplačila v letu</w:t>
      </w:r>
      <w:r>
        <w:rPr>
          <w:lang w:eastAsia="sl-SI"/>
        </w:rPr>
        <w:t> </w:t>
      </w:r>
      <w:r w:rsidRPr="00654E2F">
        <w:rPr>
          <w:lang w:eastAsia="sl-SI"/>
        </w:rPr>
        <w:t xml:space="preserve">2023 v skupnem znesku 38.262 EUR); </w:t>
      </w:r>
      <w:r w:rsidRPr="00654E2F">
        <w:t xml:space="preserve">objava javnega razpisa in razpisna dokumentacija za sofinanciranje programov ter objava javnega poziva in razpisna dokumentacija za županova sredstva niso vsebovale vseh obveznih sestavin, med drugim </w:t>
      </w:r>
      <w:r w:rsidRPr="00A85800">
        <w:t>tudi</w:t>
      </w:r>
      <w:r>
        <w:t xml:space="preserve"> ne</w:t>
      </w:r>
      <w:r w:rsidRPr="00654E2F">
        <w:t xml:space="preserve"> navedbe načina uporabe meril in pomena posameznih meril (izplačila v letu 2023 v skupnem znesku 55.063</w:t>
      </w:r>
      <w:r>
        <w:t> </w:t>
      </w:r>
      <w:r w:rsidRPr="00654E2F">
        <w:t>EUR); predsednik in članici komisije, imenovani za vodenje postopka javnega razpisa za sofinanciranje programov</w:t>
      </w:r>
      <w:r>
        <w:t>,</w:t>
      </w:r>
      <w:r w:rsidRPr="00654E2F">
        <w:t xml:space="preserve"> ter v 4 primerih članica komisije, imenovana za vodenje postopka javnega poziva za županova sredstva, niso podpisali predloga prejemnikov sredstev; 22 prejemnikom je na podlagi javnega poziva za županova sredstva in sklepov župana dodelila in izplačala sredstva v skupnem znesku 16.801 EUR, ne da bi z njimi sklenila pogodbe o dodelitvi sredstev; </w:t>
      </w:r>
      <w:r w:rsidRPr="00654E2F">
        <w:rPr>
          <w:lang w:eastAsia="sl-SI"/>
        </w:rPr>
        <w:t xml:space="preserve">izvajalcu humanitarnih programov ni izplačala dodeljenih sredstev v predvidenem roku; komisija, </w:t>
      </w:r>
      <w:r w:rsidRPr="00654E2F">
        <w:rPr>
          <w:lang w:eastAsia="sl-SI"/>
        </w:rPr>
        <w:lastRenderedPageBreak/>
        <w:t>imenovana za vodenje postopka javnega poziva za županova sredstva, ni odpirala in obravnavala vlog v predvidenih rokih, v 15 primerih pa je obravnavala vloge, ki niso bile pripravljene na predpisanem obrazcu</w:t>
      </w:r>
      <w:r w:rsidRPr="00654E2F">
        <w:t xml:space="preserve">; </w:t>
      </w:r>
      <w:r w:rsidRPr="00654E2F">
        <w:rPr>
          <w:lang w:eastAsia="sl-SI"/>
        </w:rPr>
        <w:t xml:space="preserve">na svetovni splet ni posredovala vseh dokumentov iz javnih razpisov na področju športa, </w:t>
      </w:r>
      <w:r w:rsidRPr="00654E2F">
        <w:t>za nadpovprečne športne dosežke in za sofinanciranje programov ter iz javnega poziva za županova sredstva</w:t>
      </w:r>
      <w:r w:rsidRPr="00654E2F">
        <w:rPr>
          <w:lang w:eastAsia="sl-SI"/>
        </w:rPr>
        <w:t xml:space="preserve"> </w:t>
      </w:r>
      <w:r w:rsidRPr="00654E2F">
        <w:t>ter javno dostopnih informacij javnega značaja iz 3 pogodb o sofinanciranju oziroma dodelitvi javnih sredstev brez razpisa</w:t>
      </w:r>
      <w:r w:rsidRPr="00654E2F">
        <w:rPr>
          <w:lang w:eastAsia="sl-SI"/>
        </w:rPr>
        <w:t>;</w:t>
      </w:r>
    </w:p>
    <w:p w14:paraId="37E8E56C" w14:textId="77777777" w:rsidR="00DE46C7" w:rsidRPr="00654E2F" w:rsidRDefault="00DE46C7" w:rsidP="00DE46C7">
      <w:pPr>
        <w:pStyle w:val="RSnatevanje"/>
        <w:keepLines w:val="0"/>
        <w:tabs>
          <w:tab w:val="num" w:pos="397"/>
        </w:tabs>
        <w:spacing w:after="80"/>
      </w:pPr>
      <w:r w:rsidRPr="00654E2F">
        <w:t xml:space="preserve">ni zagotovila notranje revizije poslovanja za leto 2023; v 2 primerih podaljšanje pogodbe in neprekinjeno opravljanje istovrstnih del in nalog po navodilih </w:t>
      </w:r>
      <w:r w:rsidRPr="00313330">
        <w:t>in pod nadzorom občine</w:t>
      </w:r>
      <w:r w:rsidRPr="00654E2F">
        <w:t xml:space="preserve"> ter na sedežu občine </w:t>
      </w:r>
      <w:r w:rsidRPr="00D77718">
        <w:t>kaže</w:t>
      </w:r>
      <w:r w:rsidRPr="00654E2F">
        <w:t xml:space="preserve"> na obstoj elementov delovnega razmerja; v 1 primeru pred izplačilom obveznosti, ki se nanašajo na storitve svetovanja na področju odnosov z javnostmi, ni preverila pravnega temelja in višine obveznosti (izplačana sredstva v letu 2023 v skupnem znesku 28.651</w:t>
      </w:r>
      <w:r>
        <w:t> </w:t>
      </w:r>
      <w:r w:rsidRPr="00654E2F">
        <w:t xml:space="preserve">EUR), potrdila in plačala pa je tudi zaračunane storitve povečanega obsega del, ne da bi jih prej naročila; </w:t>
      </w:r>
      <w:r w:rsidRPr="00654E2F">
        <w:rPr>
          <w:lang w:eastAsia="sl-SI"/>
        </w:rPr>
        <w:t xml:space="preserve">v 2 primerih v naročilnico ni vključila protikorupcijske klavzule; </w:t>
      </w:r>
      <w:r w:rsidRPr="00654E2F">
        <w:t>v 1 primeru neizbranih ponudnikov ni pisno obvestila o izboru.</w:t>
      </w:r>
    </w:p>
    <w:p w14:paraId="5424E38D" w14:textId="7CB638B9" w:rsidR="00C572B5" w:rsidRDefault="00DE46C7" w:rsidP="00DE46C7">
      <w:pPr>
        <w:pStyle w:val="RStekst"/>
      </w:pPr>
      <w:r w:rsidRPr="00654E2F">
        <w:t xml:space="preserve">Računsko sodišče je Občini Škofljica podalo </w:t>
      </w:r>
      <w:r w:rsidRPr="00654E2F">
        <w:rPr>
          <w:b/>
        </w:rPr>
        <w:t>priporočila</w:t>
      </w:r>
      <w:r w:rsidRPr="00654E2F">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35897DF7" w14:textId="33F7C4FD" w:rsidR="008629A2" w:rsidRDefault="008629A2" w:rsidP="008629A2">
      <w:pPr>
        <w:pStyle w:val="RStekst"/>
      </w:pPr>
      <w:r>
        <w:t xml:space="preserve">Ljubljana, </w:t>
      </w:r>
      <w:r w:rsidR="00DE46C7">
        <w:t>16. aprila 2025</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844631937">
    <w:abstractNumId w:val="18"/>
  </w:num>
  <w:num w:numId="2" w16cid:durableId="1481582177">
    <w:abstractNumId w:val="11"/>
  </w:num>
  <w:num w:numId="3" w16cid:durableId="1007176727">
    <w:abstractNumId w:val="19"/>
    <w:lvlOverride w:ilvl="0">
      <w:startOverride w:val="1"/>
    </w:lvlOverride>
  </w:num>
  <w:num w:numId="4" w16cid:durableId="81535096">
    <w:abstractNumId w:val="22"/>
  </w:num>
  <w:num w:numId="5" w16cid:durableId="322855915">
    <w:abstractNumId w:val="4"/>
  </w:num>
  <w:num w:numId="6" w16cid:durableId="1142966479">
    <w:abstractNumId w:val="16"/>
  </w:num>
  <w:num w:numId="7" w16cid:durableId="2079357821">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760784736">
    <w:abstractNumId w:val="12"/>
  </w:num>
  <w:num w:numId="9" w16cid:durableId="55393415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709302662">
    <w:abstractNumId w:val="10"/>
  </w:num>
  <w:num w:numId="11" w16cid:durableId="1217742075">
    <w:abstractNumId w:val="1"/>
  </w:num>
  <w:num w:numId="12" w16cid:durableId="1114797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30154696">
    <w:abstractNumId w:val="14"/>
  </w:num>
  <w:num w:numId="14" w16cid:durableId="1117483311">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1279920579">
    <w:abstractNumId w:val="9"/>
  </w:num>
  <w:num w:numId="16" w16cid:durableId="70007539">
    <w:abstractNumId w:val="17"/>
  </w:num>
  <w:num w:numId="17" w16cid:durableId="4938953">
    <w:abstractNumId w:val="13"/>
  </w:num>
  <w:num w:numId="18" w16cid:durableId="1880121351">
    <w:abstractNumId w:val="21"/>
  </w:num>
  <w:num w:numId="19" w16cid:durableId="1194267779">
    <w:abstractNumId w:val="2"/>
  </w:num>
  <w:num w:numId="20" w16cid:durableId="1801991896">
    <w:abstractNumId w:val="7"/>
  </w:num>
  <w:num w:numId="21" w16cid:durableId="1640957337">
    <w:abstractNumId w:val="3"/>
  </w:num>
  <w:num w:numId="22" w16cid:durableId="585573970">
    <w:abstractNumId w:val="23"/>
  </w:num>
  <w:num w:numId="23" w16cid:durableId="1574314977">
    <w:abstractNumId w:val="6"/>
  </w:num>
  <w:num w:numId="24" w16cid:durableId="363987068">
    <w:abstractNumId w:val="5"/>
  </w:num>
  <w:num w:numId="25" w16cid:durableId="4111225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8565825">
    <w:abstractNumId w:val="0"/>
  </w:num>
  <w:num w:numId="27" w16cid:durableId="1182086336">
    <w:abstractNumId w:val="15"/>
  </w:num>
  <w:num w:numId="28" w16cid:durableId="989946860">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0514"/>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DE46C7"/>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D6580"/>
    <w:rsid w:val="00EE564D"/>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uiPriority w:val="3"/>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schemas.microsoft.com/office/infopath/2007/PartnerControls"/>
    <ds:schemaRef ds:uri="http://purl.org/dc/dcmitype/"/>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1e3d3dff-4392-4e99-aebd-c95b4ee1af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7666</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2025-04-15T13:46:00Z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