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5B124E26" w:rsidR="008629A2" w:rsidRPr="00F4569E" w:rsidRDefault="008629A2" w:rsidP="008629A2">
      <w:pPr>
        <w:pStyle w:val="RSGLAVNINASLOV"/>
        <w:rPr>
          <w:spacing w:val="-2"/>
        </w:rPr>
      </w:pPr>
      <w:r w:rsidRPr="009176A9">
        <w:rPr>
          <w:spacing w:val="-2"/>
        </w:rPr>
        <w:t>Povzetek revizijskega poročila</w:t>
      </w:r>
      <w:r w:rsidR="00277EF0">
        <w:rPr>
          <w:spacing w:val="-2"/>
        </w:rPr>
        <w:br/>
      </w:r>
      <w:r w:rsidR="00277EF0" w:rsidRPr="00277EF0">
        <w:rPr>
          <w:spacing w:val="-2"/>
        </w:rPr>
        <w:t>Pravilnost dela poslovanja Občine Miren - Kostanjevica</w:t>
      </w:r>
      <w:r w:rsidRPr="009176A9">
        <w:rPr>
          <w:spacing w:val="-2"/>
        </w:rPr>
        <w:t xml:space="preserve"> </w:t>
      </w:r>
    </w:p>
    <w:p w14:paraId="00F7C190" w14:textId="77777777" w:rsidR="00B74B30" w:rsidRPr="00D678EA" w:rsidRDefault="00B74B30" w:rsidP="00B74B30">
      <w:pPr>
        <w:pStyle w:val="RStekst"/>
      </w:pPr>
      <w:r w:rsidRPr="00D678EA">
        <w:t xml:space="preserve">Računsko sodišče je revidiralo pravilnost poslovanja </w:t>
      </w:r>
      <w:r w:rsidRPr="00D678EA">
        <w:rPr>
          <w:b/>
          <w:bCs w:val="0"/>
        </w:rPr>
        <w:t>Občine Miren</w:t>
      </w:r>
      <w:r>
        <w:rPr>
          <w:b/>
          <w:bCs w:val="0"/>
        </w:rPr>
        <w:t xml:space="preserve"> </w:t>
      </w:r>
      <w:r w:rsidRPr="00D678EA">
        <w:rPr>
          <w:b/>
          <w:bCs w:val="0"/>
        </w:rPr>
        <w:t>-</w:t>
      </w:r>
      <w:r>
        <w:rPr>
          <w:b/>
          <w:bCs w:val="0"/>
        </w:rPr>
        <w:t xml:space="preserve"> </w:t>
      </w:r>
      <w:r w:rsidRPr="00D678EA">
        <w:rPr>
          <w:b/>
          <w:bCs w:val="0"/>
        </w:rPr>
        <w:t>Kostanjevica</w:t>
      </w:r>
      <w:r w:rsidRPr="00D678EA">
        <w:t xml:space="preserve"> v letu 2023. Cilj</w:t>
      </w:r>
      <w:r>
        <w:t> </w:t>
      </w:r>
      <w:r w:rsidRPr="00D678EA">
        <w:t>revizije je bil izrek mnenja o pravilnosti poslovanja Občine Miren</w:t>
      </w:r>
      <w:r>
        <w:t xml:space="preserve"> </w:t>
      </w:r>
      <w:r w:rsidRPr="00D678EA">
        <w:t>-</w:t>
      </w:r>
      <w:r>
        <w:t xml:space="preserve"> </w:t>
      </w:r>
      <w:r w:rsidRPr="00D678EA">
        <w:t>Kostanjevica v letu 2023 v delu, ki se nanaša na plače in druge izdatke zaposlenim, vzdrževanje občinskih cest, javna naročila pri investicijskih odhodkih in tekoče transfere nepridobitnim organizacijam in ustanovam.</w:t>
      </w:r>
    </w:p>
    <w:p w14:paraId="3BC95B6C" w14:textId="77777777" w:rsidR="00B74B30" w:rsidRPr="00D678EA" w:rsidRDefault="00B74B30" w:rsidP="00B74B30">
      <w:pPr>
        <w:pStyle w:val="RStekst"/>
      </w:pPr>
      <w:r w:rsidRPr="00D678EA">
        <w:t>Računsko sodišče je o pravilnosti dela poslovanja Občine Miren</w:t>
      </w:r>
      <w:r>
        <w:t xml:space="preserve"> </w:t>
      </w:r>
      <w:r w:rsidRPr="00D678EA">
        <w:t>-</w:t>
      </w:r>
      <w:r>
        <w:t xml:space="preserve"> </w:t>
      </w:r>
      <w:r w:rsidRPr="00D678EA">
        <w:t xml:space="preserve">Kostanjevica v letu 2023 izreklo </w:t>
      </w:r>
      <w:r w:rsidRPr="006518A2">
        <w:rPr>
          <w:rStyle w:val="RStekstBoldbarva"/>
          <w:color w:val="auto"/>
        </w:rPr>
        <w:t xml:space="preserve">negativno mnenje, </w:t>
      </w:r>
      <w:r w:rsidRPr="00D678EA">
        <w:t>ker občina ni poslovala v skladu s predpisi in pogodbenimi določili v naslednjih primerih:</w:t>
      </w:r>
    </w:p>
    <w:p w14:paraId="36C51B39" w14:textId="77777777" w:rsidR="00B74B30" w:rsidRPr="00D678EA" w:rsidRDefault="00B74B30" w:rsidP="00B74B30">
      <w:pPr>
        <w:pStyle w:val="RSnatevanje"/>
        <w:keepLines w:val="0"/>
        <w:tabs>
          <w:tab w:val="num" w:pos="397"/>
        </w:tabs>
        <w:spacing w:after="80"/>
      </w:pPr>
      <w:r w:rsidRPr="00D678EA">
        <w:tab/>
        <w:t>del plače za redno delovno uspešnost direktorice občinske uprave je bil obračunan v okviru obsega sredstev za ta namen, ni pa bil določen na podlagi ustreznih meril;</w:t>
      </w:r>
    </w:p>
    <w:p w14:paraId="42B2289B" w14:textId="77777777" w:rsidR="00B74B30" w:rsidRPr="00D678EA" w:rsidRDefault="00B74B30" w:rsidP="00B74B30">
      <w:pPr>
        <w:pStyle w:val="RSnatevanje"/>
        <w:keepLines w:val="0"/>
        <w:tabs>
          <w:tab w:val="num" w:pos="397"/>
        </w:tabs>
        <w:spacing w:after="80"/>
      </w:pPr>
      <w:r w:rsidRPr="00D678EA">
        <w:t>storitve rednega vzdrževanja cest in izvajanja zimske službe je zagotavljala na podlagi pogodb in ne v okviru režijskega obrata (v letu 2023 je izvajalcu izplačala skupaj 105.203</w:t>
      </w:r>
      <w:r>
        <w:t> </w:t>
      </w:r>
      <w:r w:rsidRPr="00D678EA">
        <w:t>EUR); s</w:t>
      </w:r>
      <w:r>
        <w:t> </w:t>
      </w:r>
      <w:r w:rsidRPr="00D678EA">
        <w:t xml:space="preserve">sklepanjem aneksov k </w:t>
      </w:r>
      <w:r w:rsidRPr="00544A0C">
        <w:t>pogodbi</w:t>
      </w:r>
      <w:r w:rsidRPr="00D678EA">
        <w:t xml:space="preserve"> za vzdrževanje cest </w:t>
      </w:r>
      <w:r w:rsidRPr="00544A0C">
        <w:t>iz leta 2006 in k pogodbi</w:t>
      </w:r>
      <w:r w:rsidRPr="00D678EA">
        <w:t xml:space="preserve"> </w:t>
      </w:r>
      <w:r>
        <w:t xml:space="preserve">za </w:t>
      </w:r>
      <w:r w:rsidRPr="00D678EA">
        <w:t>izvajanj</w:t>
      </w:r>
      <w:r>
        <w:t>e</w:t>
      </w:r>
      <w:r w:rsidRPr="00D678EA">
        <w:t xml:space="preserve"> zimske službe iz let</w:t>
      </w:r>
      <w:r w:rsidRPr="00D678EA" w:rsidDel="00B9748B">
        <w:t>a</w:t>
      </w:r>
      <w:r>
        <w:t> </w:t>
      </w:r>
      <w:r w:rsidRPr="00D678EA">
        <w:t>2009 je občina bistveno spremenila obseg prvotnih pogodb, pri tem pa v obdobju od</w:t>
      </w:r>
      <w:r>
        <w:t> </w:t>
      </w:r>
      <w:r w:rsidRPr="00D678EA">
        <w:t>leta 2007 do leta 2023 ni izvedla novega postopka javnega naročanja; za storitve rednega vzdrževanja cest in izvajanja zimske službe, opravljene in obračunane v letu 2023 do 30.</w:t>
      </w:r>
      <w:r>
        <w:t> </w:t>
      </w:r>
      <w:r w:rsidRPr="00D678EA">
        <w:t>4.</w:t>
      </w:r>
      <w:r>
        <w:t> </w:t>
      </w:r>
      <w:r w:rsidRPr="00D678EA">
        <w:t xml:space="preserve">2023 v skupnem znesku 21.397 EUR, ni imela sklenjene veljavne pogodbe za izvajanje teh storitev; ni izkazala, da je pred plačilom začasnih situacij preverila in potrdila, da so bile storitve dejansko opravljene in obračunane v ustrezni višini; prevzela je obveznosti za večji obseg rednega vzdrževanja občinskih cest in </w:t>
      </w:r>
      <w:r>
        <w:t xml:space="preserve">izvajanja </w:t>
      </w:r>
      <w:r w:rsidRPr="00D678EA">
        <w:t xml:space="preserve">zimske službe ter plačala obveznosti v znesku 7.880 EUR, ki niso bile dogovorjene s pisno pogodbo; </w:t>
      </w:r>
      <w:r w:rsidRPr="00D678EA">
        <w:tab/>
      </w:r>
      <w:r w:rsidRPr="00D678EA">
        <w:tab/>
        <w:t>aneks št. 5 k pogodbi za vzdrževanje cest iz leta 2006 in aneks</w:t>
      </w:r>
      <w:r>
        <w:t> </w:t>
      </w:r>
      <w:r w:rsidRPr="00D678EA">
        <w:t>št. 2 k pogodbi za izvajanje zimske službe iz leta 2009 ne vsebujeta protikorupcijske klavzule; ni izdelala letnega plana rednega vzdrževanja cest za leto 2023; ni pridobila v potrditev izvedbenega programa rednega vzdrževanja cest za leto 2023 in mesečnih izvedbenih programov rednega vzdrževanja cest v letu 2023 ter izvedbenega programa zimske službe za zimsko sezono 2022/2023 in 2023/2024; obrazložitve proračuna občine za leto 2023 in poročilo o doseženih ciljih in rezultatih za leto 2023 v delu, ki se nanaša na vzdrževanje občinskih cest, niso popolni;</w:t>
      </w:r>
    </w:p>
    <w:p w14:paraId="47CCA66A" w14:textId="77777777" w:rsidR="00B74B30" w:rsidRPr="00D678EA" w:rsidRDefault="00B74B30" w:rsidP="00B74B30">
      <w:pPr>
        <w:pStyle w:val="RSnatevanje"/>
        <w:keepLines w:val="0"/>
        <w:tabs>
          <w:tab w:val="num" w:pos="397"/>
        </w:tabs>
        <w:spacing w:after="80"/>
      </w:pPr>
      <w:r w:rsidRPr="00D678EA">
        <w:tab/>
        <w:t>v 2 primerih je aneks k pogodbi sklenila po opravljenih delih (v letu 2023 je izvajalcema za izvršena dodatna dela plačala skupaj 42.127 EUR); v 2 primerih je prepozno pridobila zavarovanje za odpravo napak v garancijskem roku in v prenizki vrednosti; od izvajalca ni zahtevala in pridobila kopije sklenjene pogodbe med izvajalcem in podizvajalcem; v 1</w:t>
      </w:r>
      <w:r>
        <w:t> </w:t>
      </w:r>
      <w:r w:rsidRPr="00D678EA">
        <w:t>primeru je prepozno pridobila zavarovanje za dobro izvedbo pogodbenih obveznosti; v 1</w:t>
      </w:r>
      <w:r>
        <w:t> </w:t>
      </w:r>
      <w:r w:rsidRPr="00D678EA">
        <w:t>primeru ni poskrbela za podaljšanje roka izvedbe del v pisni obliki; izvajalec je v izvedbo del vključil novega podizvajalca</w:t>
      </w:r>
      <w:r>
        <w:t>,</w:t>
      </w:r>
      <w:r w:rsidRPr="00D678EA">
        <w:t xml:space="preserve"> kljub temu da občina zanj ni podala pisnega soglasja ter da ji izvajalec zanj ni predložil </w:t>
      </w:r>
      <w:r>
        <w:t>e</w:t>
      </w:r>
      <w:r w:rsidRPr="00D678EA">
        <w:t xml:space="preserve">notnega evropskega dokumenta v zvezi z oddajo javnega naročila; v 2 primerih je </w:t>
      </w:r>
      <w:r w:rsidRPr="00D678EA">
        <w:lastRenderedPageBreak/>
        <w:t>plačala končno situacijo oziroma račun, od izvajalca pa ni zahtevala in pridobila pisne izjave izvajalca in pisne izjave podizvajalcev, da so podizvajalci prejeli plačilo za izvedena dela; z</w:t>
      </w:r>
      <w:r>
        <w:t> </w:t>
      </w:r>
      <w:r w:rsidRPr="00D678EA">
        <w:t>izvedbo 2 ločenih postopkov oddaje javnih naročil in s sklenitvijo 2 pogodb za izvedbo enovitega projekta je vrednost javnih naročil razdelila in se izognila predpisanemu postopku javnega naročanja za eno od oddanih naročil (v letu 2023 je na podlagi pogodbe, sklenjene po evidenčnem postopku oddaje javnega naročila, izvajalcu plačala 60.263 EUR); v 5 primerih pri plačilu obveznosti iz proračuna ni upoštevala zakonskih plačilnih rokov; 2 aneksov k pogodbi ni objavila na portalu javnih naročil; prevzela in plačala je obveznosti za dela v skupni vrednosti 28.274</w:t>
      </w:r>
      <w:r>
        <w:t> </w:t>
      </w:r>
      <w:r w:rsidRPr="00D678EA">
        <w:t>EUR, ki niso bila dogovorjena s pogodbo; izvajalec je storitve zaračunal za 2.288</w:t>
      </w:r>
      <w:r>
        <w:t> </w:t>
      </w:r>
      <w:r w:rsidRPr="00D678EA">
        <w:t>EUR več, kot je bilo določeno s cenikom; s sklenitvijo pogodbe je prevzela za 85.306 EUR več obveznosti (za izvršena dela je v letu 2023 plačala 39.980 EUR), kot je imela  zagotovljenih sredstev v načrtu razvojnih programov za obdobje 2022–2025 ob prevzemu obveznosti; v 4 primerih pred uvrstitvijo projektov v načrt razvojnih programov ni pripravila dokumenta identifikacije investicijskega projekta oziroma poenostavljene investicijske dokumentacije (v letu 2023 je izvajalcem plačala skupaj 292.069 EUR);</w:t>
      </w:r>
    </w:p>
    <w:p w14:paraId="1118FDC3" w14:textId="77777777" w:rsidR="00B74B30" w:rsidRPr="00D678EA" w:rsidRDefault="00B74B30" w:rsidP="00B74B30">
      <w:pPr>
        <w:pStyle w:val="RSnatevanje"/>
        <w:keepLines w:val="0"/>
        <w:tabs>
          <w:tab w:val="num" w:pos="397"/>
        </w:tabs>
        <w:spacing w:after="80"/>
      </w:pPr>
      <w:r w:rsidRPr="00D678EA">
        <w:tab/>
        <w:t>javnega razpisa na področju športa ni objavila v uradnem glasilu lokalne skupnosti; predsednik in člani komisije, imenovani za vodenje postopka javnega razpisa na področju športa, niso podpisali izjave o prepovedi interesne povezanosti; komisija, imenovana za vodenje postopka javnega razpisa na področju športa, v zapisniku o odpiranju vlog ni navedla, ali je vlogo podala upravičena oseba; v javnem razpisu na področju športa nekatera merila niso bila ustrezna, prav tako tudi način njihove uporabe za področje športnih prireditev ni bil jasno določen (v letu</w:t>
      </w:r>
      <w:r>
        <w:t> </w:t>
      </w:r>
      <w:r w:rsidRPr="00D678EA">
        <w:t>2023 je na podlagi javnega razpisa za šport izplačala 47.755 EUR); komisija, imenovana za vodenje postopka javnega razpisa na področju športa</w:t>
      </w:r>
      <w:r>
        <w:t>,</w:t>
      </w:r>
      <w:r w:rsidRPr="00D678EA">
        <w:t xml:space="preserve"> v zapisniku o ocenjevanju vlog na področju športnih prireditev ni navedla načina razdelitve točk in sredstev (na področju športnih prireditev je izplačala 3.000 EUR); predsednik in člani komisije, imenovani za vodenje postopka javnega razpisa na področju športa in javnega razpisa na področju družbenih dejavnosti</w:t>
      </w:r>
      <w:r>
        <w:t>,</w:t>
      </w:r>
      <w:r w:rsidRPr="00D678EA">
        <w:t xml:space="preserve"> ter članica komisije, imenovana za vodenje postopka javnega razpisa na področju kulture, niso podpisali zapisnika o odpiranju vlog; prejemniku sredstev javnega razpisa na področju športa ni izplačala vseh dodeljenih sredstev v predvidenem roku; 2 društvoma je oddala v brezplačno uporabo nogometna igrišča in spremljajoče objekte na podlagi 3 pogodb, ne da bi izvedla javni razpis; ni sprejela lokalnega programa za kulturo za obdobje 4 let ali dokumenta razvojnega načrtovanja lokalne skupnosti, v katerem bi opredelila javni interes na področju kulture, prioritete, ukrepe ter cilje in kazalce za njihovo doseganje; v objavi javnega razpisa na področju kulture oziroma v razpisni dokumentaciji oziroma v Pravilniku Občine Miren</w:t>
      </w:r>
      <w:r>
        <w:t xml:space="preserve"> </w:t>
      </w:r>
      <w:r w:rsidRPr="00D678EA">
        <w:t>-</w:t>
      </w:r>
      <w:r>
        <w:t xml:space="preserve"> </w:t>
      </w:r>
      <w:r w:rsidRPr="00D678EA">
        <w:t>Kostanjevica o sofinanciranju programov in projektov kulture ter tehnične kulture ni določila načina uporabe vseh meril in kriterijev (v letu 2023 je na podlagi javnega razpisa za kulturo izplačala 40.844</w:t>
      </w:r>
      <w:r>
        <w:t> </w:t>
      </w:r>
      <w:r w:rsidRPr="00D678EA">
        <w:t xml:space="preserve">EUR); iz predložene dokumentacije ni razvidno, kako je strokovna komisija, imenovana za vodenje postopka javnega razpisa na področju kulture, dodelila točke na podlagi meril, </w:t>
      </w:r>
      <w:r w:rsidRPr="00544A0C">
        <w:t>kjer</w:t>
      </w:r>
      <w:r w:rsidRPr="00D678EA">
        <w:t xml:space="preserve"> ni bil določen način uporabe</w:t>
      </w:r>
      <w:r>
        <w:t>,</w:t>
      </w:r>
      <w:r w:rsidRPr="00D678EA">
        <w:t xml:space="preserve"> oziroma točke, kjer merila in kriteriji za ocenjevanje in vrednotenje niso bili določeni; 3 vlog, katerih dopolnitve so na javni razpis na področju kulture prispele prepozno, župan ni zavrgel s sklepom, posledično sredstva javnega razpisa na področju kulture niso bila pravilno razdeljena; 4 prejemnikom sredstev je na podlagi doseženih točk dodelila in izplačala sredstva, ki so bila višja od zaprošenih, razlike pa ni vrnila v proračun; javnega razpisa na področju družbenih dejavnosti ni objavila v Uradnem listu R</w:t>
      </w:r>
      <w:r>
        <w:t>S</w:t>
      </w:r>
      <w:r w:rsidRPr="00D678EA">
        <w:t xml:space="preserve">; objava javnega razpisa na področju družbenih dejavnosti in razpisna dokumentacija nista vsebovala vseh obveznih sestavin, razpisna dokumentacija med drugim ni vsebovala navedbe načina uporabe meril in </w:t>
      </w:r>
      <w:r w:rsidRPr="00D678EA">
        <w:lastRenderedPageBreak/>
        <w:t>pomena posameznih meril ter načina določanja deleža, ki ga prejme posamezni prejemnik (izplačila v letu 2023 v skupnem znesku 11.268 EUR); zapisnik o odpiranju vlog javnega razpisa na področju družbenih dejavnosti ne vsebuje vseh obveznih sestavin; strokovna komisija, imenovana za vodenje postopka javnega razpisa na področju družbenih dejavnosti, ni podpisala predloga prejemnikov sredstev; 2 nepridobitnima organizacijama in ustanovama na različnih področjih delovanja je dodelila in izplačala sredstva v skupnem znesku 350 EUR, ne da bi prej izvedla javni razpis; s 3 nepridobitnimi organizacijami oziroma ustanovami, ki jim je dodelila in izplačala sredstva v skupnem znesku 650</w:t>
      </w:r>
      <w:r>
        <w:t> </w:t>
      </w:r>
      <w:r w:rsidRPr="00D678EA">
        <w:t>EUR, ni sklenila pogodbe o dodelitvi sredstev; na svetovni splet ni posredovala dokumentacije o članih komisije za izvedbo postopka javnega razpisa na področju družbenih dejavnosti ter javno dostopnih informacij javnega značaja iz 6</w:t>
      </w:r>
      <w:r>
        <w:t> </w:t>
      </w:r>
      <w:r w:rsidRPr="00D678EA">
        <w:t>pogodb o sofinanciranju oziroma dodelitvi javnih sredstev brez razpisa.</w:t>
      </w:r>
    </w:p>
    <w:p w14:paraId="06CBDFBC" w14:textId="77777777" w:rsidR="00B74B30" w:rsidRPr="00D678EA" w:rsidRDefault="00B74B30" w:rsidP="00B74B30">
      <w:pPr>
        <w:pStyle w:val="RStekst"/>
      </w:pPr>
      <w:r w:rsidRPr="00D678EA">
        <w:t>Računsko sodišče je Občini Miren</w:t>
      </w:r>
      <w:r>
        <w:t xml:space="preserve"> </w:t>
      </w:r>
      <w:r w:rsidRPr="00D678EA">
        <w:t>-</w:t>
      </w:r>
      <w:r>
        <w:t xml:space="preserve"> </w:t>
      </w:r>
      <w:r w:rsidRPr="00D678EA">
        <w:t xml:space="preserve">Kostanjevica podalo </w:t>
      </w:r>
      <w:r w:rsidRPr="00D678EA">
        <w:rPr>
          <w:b/>
          <w:bCs w:val="0"/>
        </w:rPr>
        <w:t>priporočila</w:t>
      </w:r>
      <w:r w:rsidRPr="00D678EA">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424E38D" w14:textId="77777777" w:rsidR="00C572B5" w:rsidRDefault="00C572B5" w:rsidP="003D1FAE">
      <w:pPr>
        <w:pStyle w:val="RStekst"/>
      </w:pPr>
    </w:p>
    <w:p w14:paraId="35897DF7" w14:textId="689EC2E2" w:rsidR="008629A2" w:rsidRDefault="008629A2" w:rsidP="008629A2">
      <w:pPr>
        <w:pStyle w:val="RStekst"/>
      </w:pPr>
      <w:r>
        <w:t xml:space="preserve">Ljubljana, </w:t>
      </w:r>
      <w:r w:rsidR="00B74B30">
        <w:t>21. maja 2025</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D7E" w14:textId="77777777" w:rsidR="002B0514" w:rsidRDefault="002B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4FB4" w14:textId="77777777" w:rsidR="002B0514" w:rsidRPr="00953FA7" w:rsidRDefault="002B0514" w:rsidP="002B0514">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04088179" wp14:editId="555BA91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D6F5B26" w14:textId="77777777" w:rsidR="002B0514" w:rsidRPr="00284348" w:rsidRDefault="002B0514" w:rsidP="002B0514">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996569647">
    <w:abstractNumId w:val="18"/>
  </w:num>
  <w:num w:numId="2" w16cid:durableId="2017344583">
    <w:abstractNumId w:val="11"/>
  </w:num>
  <w:num w:numId="3" w16cid:durableId="1658875240">
    <w:abstractNumId w:val="19"/>
    <w:lvlOverride w:ilvl="0">
      <w:startOverride w:val="1"/>
    </w:lvlOverride>
  </w:num>
  <w:num w:numId="4" w16cid:durableId="1348170884">
    <w:abstractNumId w:val="22"/>
  </w:num>
  <w:num w:numId="5" w16cid:durableId="516308787">
    <w:abstractNumId w:val="4"/>
  </w:num>
  <w:num w:numId="6" w16cid:durableId="1395926627">
    <w:abstractNumId w:val="16"/>
  </w:num>
  <w:num w:numId="7" w16cid:durableId="2141535250">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732804495">
    <w:abstractNumId w:val="12"/>
  </w:num>
  <w:num w:numId="9" w16cid:durableId="64790138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1202741330">
    <w:abstractNumId w:val="10"/>
  </w:num>
  <w:num w:numId="11" w16cid:durableId="898903719">
    <w:abstractNumId w:val="1"/>
  </w:num>
  <w:num w:numId="12" w16cid:durableId="865749147">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293103563">
    <w:abstractNumId w:val="14"/>
  </w:num>
  <w:num w:numId="14" w16cid:durableId="864753786">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985473594">
    <w:abstractNumId w:val="9"/>
  </w:num>
  <w:num w:numId="16" w16cid:durableId="2037005182">
    <w:abstractNumId w:val="17"/>
  </w:num>
  <w:num w:numId="17" w16cid:durableId="330987099">
    <w:abstractNumId w:val="13"/>
  </w:num>
  <w:num w:numId="18" w16cid:durableId="49963963">
    <w:abstractNumId w:val="21"/>
  </w:num>
  <w:num w:numId="19" w16cid:durableId="580531236">
    <w:abstractNumId w:val="2"/>
  </w:num>
  <w:num w:numId="20" w16cid:durableId="307177095">
    <w:abstractNumId w:val="7"/>
  </w:num>
  <w:num w:numId="21" w16cid:durableId="1742866907">
    <w:abstractNumId w:val="3"/>
  </w:num>
  <w:num w:numId="22" w16cid:durableId="1347098474">
    <w:abstractNumId w:val="23"/>
  </w:num>
  <w:num w:numId="23" w16cid:durableId="25371047">
    <w:abstractNumId w:val="6"/>
  </w:num>
  <w:num w:numId="24" w16cid:durableId="1752462499">
    <w:abstractNumId w:val="5"/>
  </w:num>
  <w:num w:numId="25" w16cid:durableId="3161518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2888254">
    <w:abstractNumId w:val="0"/>
  </w:num>
  <w:num w:numId="27" w16cid:durableId="752043619">
    <w:abstractNumId w:val="15"/>
  </w:num>
  <w:num w:numId="28" w16cid:durableId="989946860">
    <w:abstractNumId w:val="3"/>
    <w:lvlOverride w:ilvl="0">
      <w:lvl w:ilvl="0" w:tplc="C6846270">
        <w:start w:val="1"/>
        <w:numFmt w:val="decimal"/>
        <w:pStyle w:val="RS-Tabela"/>
        <w:lvlText w:val="Tabela %1"/>
        <w:lvlJc w:val="left"/>
        <w:pPr>
          <w:ind w:left="964" w:hanging="964"/>
        </w:pPr>
        <w:rPr>
          <w:b/>
          <w:bCs w:val="0"/>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77EF0"/>
    <w:rsid w:val="00282257"/>
    <w:rsid w:val="00286199"/>
    <w:rsid w:val="00292FDA"/>
    <w:rsid w:val="00296674"/>
    <w:rsid w:val="002A7C18"/>
    <w:rsid w:val="002B0514"/>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441FD"/>
    <w:rsid w:val="00546BCD"/>
    <w:rsid w:val="0055169D"/>
    <w:rsid w:val="00556540"/>
    <w:rsid w:val="005712C3"/>
    <w:rsid w:val="00587344"/>
    <w:rsid w:val="005A0CE8"/>
    <w:rsid w:val="005A11D2"/>
    <w:rsid w:val="005A4A15"/>
    <w:rsid w:val="005B475F"/>
    <w:rsid w:val="005D4959"/>
    <w:rsid w:val="005E0F21"/>
    <w:rsid w:val="00624347"/>
    <w:rsid w:val="00636A48"/>
    <w:rsid w:val="006518A2"/>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92184"/>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4B30"/>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uiPriority w:val="3"/>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2006/metadata/properties"/>
    <ds:schemaRef ds:uri="http://purl.org/dc/terms/"/>
    <ds:schemaRef ds:uri="http://schemas.openxmlformats.org/package/2006/metadata/core-properties"/>
    <ds:schemaRef ds:uri="1e3d3dff-4392-4e99-aebd-c95b4ee1afdd"/>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7523</Characters>
  <Application>Microsoft Office Word</Application>
  <DocSecurity>0</DocSecurity>
  <Lines>100</Lines>
  <Paragraphs>10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2025-05-21T08:13:00Z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