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564C48F3" w:rsidR="008629A2" w:rsidRPr="00F4569E" w:rsidRDefault="008629A2" w:rsidP="002B636F">
      <w:pPr>
        <w:pStyle w:val="RSGLAVNINASLOV"/>
        <w:spacing w:before="1200"/>
        <w:rPr>
          <w:spacing w:val="-2"/>
        </w:rPr>
      </w:pPr>
      <w:r w:rsidRPr="009176A9">
        <w:rPr>
          <w:spacing w:val="-2"/>
        </w:rPr>
        <w:t>Povzetek revizijskega poročila</w:t>
      </w:r>
      <w:r w:rsidR="00DF1A26">
        <w:rPr>
          <w:spacing w:val="-2"/>
        </w:rPr>
        <w:br/>
      </w:r>
      <w:r w:rsidR="00DF1A26" w:rsidRPr="00DF1A26">
        <w:rPr>
          <w:spacing w:val="-2"/>
        </w:rPr>
        <w:t>Pravilnost dela poslovanja Občine Loška dolina</w:t>
      </w:r>
      <w:r w:rsidRPr="009176A9">
        <w:rPr>
          <w:spacing w:val="-2"/>
        </w:rPr>
        <w:t xml:space="preserve"> </w:t>
      </w:r>
    </w:p>
    <w:p w14:paraId="2BD2F402" w14:textId="77777777" w:rsidR="00B92F18" w:rsidRDefault="00B92F18" w:rsidP="00DF1A26">
      <w:pPr>
        <w:pStyle w:val="RStekst"/>
      </w:pPr>
    </w:p>
    <w:p w14:paraId="046F2D76" w14:textId="2A7A2B11" w:rsidR="00DF1A26" w:rsidRPr="009D04E6" w:rsidRDefault="00DF1A26" w:rsidP="00DF1A26">
      <w:pPr>
        <w:pStyle w:val="RStekst"/>
      </w:pPr>
      <w:r w:rsidRPr="009D04E6">
        <w:t xml:space="preserve">Računsko sodišče je revidiralo pravilnost poslovanja </w:t>
      </w:r>
      <w:r w:rsidRPr="00D633BB">
        <w:rPr>
          <w:b/>
          <w:bCs w:val="0"/>
        </w:rPr>
        <w:t>Občine Loška dolina</w:t>
      </w:r>
      <w:r w:rsidRPr="009D04E6">
        <w:t xml:space="preserve"> v letu 2023. Cilj revizije je bil izrek mnenja o pravilnosti poslovanja Občine Loška dolina v letu 2023 v delu, ki se nanaša na plače in druge izdatke zaposlenim, vzdrževanje občinskih cest, javna naročila pri investicijskih odhodkih</w:t>
      </w:r>
      <w:r>
        <w:t>,</w:t>
      </w:r>
      <w:r w:rsidRPr="009D04E6">
        <w:t xml:space="preserve"> tekoče transfere nepridobitnim organizacijam in ustanovam</w:t>
      </w:r>
      <w:r>
        <w:t xml:space="preserve"> ter druga področja poslovanja (notranja revizija)</w:t>
      </w:r>
      <w:r w:rsidRPr="009D04E6">
        <w:t>.</w:t>
      </w:r>
    </w:p>
    <w:p w14:paraId="382FAB62" w14:textId="77777777" w:rsidR="00DF1A26" w:rsidRPr="006D3AFB" w:rsidRDefault="00DF1A26" w:rsidP="00DF1A26">
      <w:pPr>
        <w:pStyle w:val="RStekst"/>
      </w:pPr>
      <w:r w:rsidRPr="009D04E6">
        <w:t xml:space="preserve">Računsko </w:t>
      </w:r>
      <w:r w:rsidRPr="006D3AFB">
        <w:t xml:space="preserve">sodišče je o pravilnosti dela poslovanja Občine Loška dolina v letu 2023 </w:t>
      </w:r>
      <w:r w:rsidRPr="00B92F18">
        <w:t>izreklo</w:t>
      </w:r>
      <w:r w:rsidRPr="00B92F18">
        <w:rPr>
          <w:rStyle w:val="RStekstBoldbarva"/>
          <w:color w:val="auto"/>
        </w:rPr>
        <w:t xml:space="preserve"> negativno mnenje,</w:t>
      </w:r>
      <w:r w:rsidRPr="00B92F18">
        <w:t xml:space="preserve"> </w:t>
      </w:r>
      <w:r w:rsidRPr="006D3AFB">
        <w:t>ker občina ni poslovala v skladu s predpisi in pogodbenimi določili v naslednjih primerih:</w:t>
      </w:r>
    </w:p>
    <w:p w14:paraId="17CEAC31" w14:textId="77777777" w:rsidR="00DF1A26" w:rsidRPr="006D3AFB" w:rsidRDefault="00DF1A26" w:rsidP="00DF1A26">
      <w:pPr>
        <w:pStyle w:val="RSnatevanje"/>
        <w:keepLines w:val="0"/>
        <w:tabs>
          <w:tab w:val="num" w:pos="397"/>
        </w:tabs>
        <w:spacing w:after="80"/>
      </w:pPr>
      <w:r w:rsidRPr="006D3AFB">
        <w:t>občina in javni uslužbenec se nista pisno dogovorila o ustreznem denarnem povračilu namesto odpovednega roka;</w:t>
      </w:r>
    </w:p>
    <w:p w14:paraId="6EB08241" w14:textId="77777777" w:rsidR="00DF1A26" w:rsidRPr="00E11E88" w:rsidRDefault="00DF1A26" w:rsidP="00DF1A26">
      <w:pPr>
        <w:pStyle w:val="RSnatevanje"/>
        <w:keepLines w:val="0"/>
        <w:tabs>
          <w:tab w:val="num" w:pos="397"/>
        </w:tabs>
        <w:spacing w:after="80"/>
      </w:pPr>
      <w:r w:rsidRPr="009D04E6">
        <w:t>ni pripravila plana razvoja in vzdrževanja občinskih cest</w:t>
      </w:r>
      <w:r>
        <w:t xml:space="preserve"> ter </w:t>
      </w:r>
      <w:r w:rsidRPr="009D04E6">
        <w:t xml:space="preserve">letnega plana rednega vzdrževanja občinskih cest za leto 2023, posledično pa tudi proračun za leto 2023 ni </w:t>
      </w:r>
      <w:r>
        <w:t xml:space="preserve">bil </w:t>
      </w:r>
      <w:r w:rsidRPr="009D04E6">
        <w:t>popoln</w:t>
      </w:r>
      <w:r>
        <w:t xml:space="preserve">, </w:t>
      </w:r>
      <w:r w:rsidRPr="009D04E6">
        <w:tab/>
        <w:t>ni pridobila v potrditev izvedbenega programa rednega vzdrževanja cest za leto 2023 in mesečnih izvedbenih programov rednega vzdrževanja cest v letu 2023 ter izvedbenega programa zimske službe za zimsk</w:t>
      </w:r>
      <w:r>
        <w:t>i</w:t>
      </w:r>
      <w:r w:rsidRPr="009D04E6">
        <w:t xml:space="preserve"> sezon</w:t>
      </w:r>
      <w:r>
        <w:t>i</w:t>
      </w:r>
      <w:r w:rsidRPr="009D04E6">
        <w:t xml:space="preserve"> 2022/2023 in 2023/2024, niti ni izvajalca pozivala k predložitvi navedenih izvedbenih programov</w:t>
      </w:r>
      <w:r>
        <w:t xml:space="preserve">; </w:t>
      </w:r>
      <w:r w:rsidRPr="009D04E6">
        <w:tab/>
        <w:t xml:space="preserve">obrazložitve proračuna občine za leto 2023 </w:t>
      </w:r>
      <w:r>
        <w:t xml:space="preserve">in </w:t>
      </w:r>
      <w:r w:rsidRPr="00E11E88">
        <w:t>poročilo o doseženih ciljih in rezultatih za leto 2023, oba v delu, ki se nanaša na vzdrževanje občinskih cest</w:t>
      </w:r>
      <w:r>
        <w:t>,</w:t>
      </w:r>
      <w:r w:rsidRPr="00E11E88">
        <w:t xml:space="preserve"> nista popolna;</w:t>
      </w:r>
    </w:p>
    <w:p w14:paraId="0481E922" w14:textId="77777777" w:rsidR="00DF1A26" w:rsidRPr="006D3AFB" w:rsidRDefault="00DF1A26" w:rsidP="00DF1A26">
      <w:pPr>
        <w:pStyle w:val="RSnatevanje"/>
        <w:keepLines w:val="0"/>
        <w:tabs>
          <w:tab w:val="num" w:pos="397"/>
        </w:tabs>
        <w:spacing w:after="80"/>
      </w:pPr>
      <w:r w:rsidRPr="00E11E88">
        <w:tab/>
        <w:t>na portal javnih naročil ni sporočila podatkov o oddanih javnih naročilih v letu 2023, katerih vrednost je nižja od vrednosti iz prvega odstavka 21. člena Zakona o javnem naročanju, prevzela in plačala je obveznosti v skupnem znesku 3.119 EUR, ki niso bile dogovorjene s pogodbo, po sklenitvi aneksa, s katerim se je pogodbena vrednost povečala, od izvajalca ni pridobila novega finančnega zavarovanja za dobro izvedbo pogodbenih obveznosti z višjo vrednostjo, z izvedbo 4</w:t>
      </w:r>
      <w:r>
        <w:t> </w:t>
      </w:r>
      <w:r w:rsidRPr="00E11E88">
        <w:t xml:space="preserve">ločenih postopkov oddaje javnih naročil in izdajo 4 naročilnic za istovrstna dela je vrednost javnih naročil razdelila in se </w:t>
      </w:r>
      <w:r>
        <w:t xml:space="preserve">s tem </w:t>
      </w:r>
      <w:r w:rsidRPr="00E11E88">
        <w:t>izognila</w:t>
      </w:r>
      <w:r>
        <w:t xml:space="preserve"> uporabi Zakona o javnem naročanju</w:t>
      </w:r>
      <w:r w:rsidRPr="00E11E88">
        <w:t xml:space="preserve">, z izdajo naročilnice je prevzela za 32.763 EUR več obveznosti, kot je imela zagotovljenih sredstev v načrtu razvojnih programov za obdobje 2022–2025 ob prevzemu obveznosti, ob izdaji naročilnice obveznosti v znesku 13.790 EUR brez DDV ni načrtovala v načrtu razvojnih programov za obdobje 2022–2025, </w:t>
      </w:r>
      <w:r w:rsidRPr="00E11E88">
        <w:tab/>
        <w:t xml:space="preserve">v 9 primerih pred uvrstitvijo projektov v načrt razvojnih programov ni pripravila </w:t>
      </w:r>
      <w:r w:rsidRPr="006D3AFB">
        <w:t xml:space="preserve">dokumenta identifikacije investicijskega projekta oziroma poenostavljene investicijske dokumentacije, pred izdajo 7 naročilnic ni izvedla preverjanja cen na trgu, s čimer bi </w:t>
      </w:r>
      <w:r>
        <w:t>izkazala</w:t>
      </w:r>
      <w:r w:rsidRPr="006D3AFB">
        <w:t xml:space="preserve">, da je </w:t>
      </w:r>
      <w:r>
        <w:t>upoštevala</w:t>
      </w:r>
      <w:r w:rsidRPr="006D3AFB">
        <w:t xml:space="preserve"> načelo gospodarnosti;</w:t>
      </w:r>
    </w:p>
    <w:p w14:paraId="06D97806" w14:textId="77777777" w:rsidR="00DF1A26" w:rsidRPr="006D3AFB" w:rsidRDefault="00DF1A26" w:rsidP="00B92F18">
      <w:pPr>
        <w:pStyle w:val="RSnatevanje"/>
        <w:tabs>
          <w:tab w:val="num" w:pos="397"/>
        </w:tabs>
        <w:spacing w:after="80"/>
      </w:pPr>
      <w:r w:rsidRPr="006D3AFB">
        <w:lastRenderedPageBreak/>
        <w:t>ni sprejela lokalnega programa za kulturo za obdobje 4 let ali dokumenta razvojnega načrtovanja lokalne skupnosti, v katerem bi opredelila javni interes na področju kulture, prioritete, ukrepe ter cilje in kazalce za njihovo doseganje, objava javnega razpisa na področju socialnega in zdravstvenega varstva v letu 2023 ni vsebovala vseh obveznih sestavin, razpisna dokumentacija javnega razpisa na področju socialnega in zdravstvenega varstva v letu 2023 za 3 merila ni vsebovala navedbe načina njihove uporabe, na svetovnem spletu ni objavila javno dostopnih informacij javnega značaja iz 4 pogodb o sofinanciranju oziroma dodelitvi javnih sredstev brez razpisa;</w:t>
      </w:r>
    </w:p>
    <w:p w14:paraId="5FDE3A45" w14:textId="77777777" w:rsidR="00DF1A26" w:rsidRPr="006D3AFB" w:rsidRDefault="00DF1A26" w:rsidP="00DF1A26">
      <w:pPr>
        <w:pStyle w:val="RSnatevanje"/>
        <w:keepLines w:val="0"/>
        <w:tabs>
          <w:tab w:val="num" w:pos="397"/>
        </w:tabs>
        <w:spacing w:after="80"/>
      </w:pPr>
      <w:r w:rsidRPr="006D3AFB">
        <w:t>ni zagotovila notranje revizije poslovanja za leto 2023.</w:t>
      </w:r>
    </w:p>
    <w:p w14:paraId="6B6E5CD4" w14:textId="77777777" w:rsidR="00DF1A26" w:rsidRPr="009A4A84" w:rsidRDefault="00DF1A26" w:rsidP="00DF1A26">
      <w:pPr>
        <w:pStyle w:val="RStekst"/>
      </w:pPr>
      <w:r w:rsidRPr="009A4A84">
        <w:t xml:space="preserve">Računsko sodišče je v reviziji opozorilo na dileme </w:t>
      </w:r>
      <w:r>
        <w:t>glede</w:t>
      </w:r>
      <w:r w:rsidRPr="009A4A84">
        <w:t xml:space="preserve"> izpolnjevanja pogoja iz četrte alineje prvega</w:t>
      </w:r>
      <w:r>
        <w:t> </w:t>
      </w:r>
      <w:r w:rsidRPr="009A4A84">
        <w:t xml:space="preserve">odstavka 28. člena Zakona o javnem naročanju, da je vrednost predmeta naročanja enaka ali nižja od cen za ta predmet na trgu v primerih, ko </w:t>
      </w:r>
      <w:r>
        <w:t xml:space="preserve">se </w:t>
      </w:r>
      <w:r w:rsidRPr="009A4A84">
        <w:t xml:space="preserve">dejavnost gospodarske javne službe vzdrževanja </w:t>
      </w:r>
      <w:r>
        <w:t xml:space="preserve">občinskih </w:t>
      </w:r>
      <w:r w:rsidRPr="009A4A84">
        <w:t>cest izvaja</w:t>
      </w:r>
      <w:r>
        <w:t xml:space="preserve"> v razmerju</w:t>
      </w:r>
      <w:r w:rsidRPr="009A4A84">
        <w:t xml:space="preserve"> in-</w:t>
      </w:r>
      <w:proofErr w:type="spellStart"/>
      <w:r w:rsidRPr="009A4A84">
        <w:t>house</w:t>
      </w:r>
      <w:proofErr w:type="spellEnd"/>
      <w:r>
        <w:t>,</w:t>
      </w:r>
      <w:r w:rsidRPr="009A4A84">
        <w:t xml:space="preserve"> ter glede določanja cen storitev obvezne gospodarske javne službe vzdrževanja </w:t>
      </w:r>
      <w:r>
        <w:t xml:space="preserve">občinskih </w:t>
      </w:r>
      <w:r w:rsidRPr="009A4A84">
        <w:t xml:space="preserve">cest. </w:t>
      </w:r>
    </w:p>
    <w:p w14:paraId="21CC44C3" w14:textId="03EC2336" w:rsidR="003D1FAE" w:rsidRDefault="00DF1A26" w:rsidP="00DF1A26">
      <w:pPr>
        <w:pStyle w:val="RStekst"/>
      </w:pPr>
      <w:r w:rsidRPr="009A4A84">
        <w:t xml:space="preserve">Računsko sodišče je Občini Loška dolina podalo </w:t>
      </w:r>
      <w:r w:rsidRPr="009A4A84">
        <w:rPr>
          <w:b/>
          <w:bCs w:val="0"/>
        </w:rPr>
        <w:t>priporočila</w:t>
      </w:r>
      <w:r w:rsidRPr="009A4A84">
        <w:t xml:space="preserve"> za </w:t>
      </w:r>
      <w:r w:rsidRPr="009A4A84">
        <w:rPr>
          <w:rStyle w:val="RStekstZnak"/>
        </w:rPr>
        <w:t>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5424E38D" w14:textId="77777777" w:rsidR="00C572B5" w:rsidRDefault="00C572B5" w:rsidP="003D1FAE">
      <w:pPr>
        <w:pStyle w:val="RStekst"/>
      </w:pPr>
    </w:p>
    <w:p w14:paraId="35897DF7" w14:textId="1C16A5F4" w:rsidR="008629A2" w:rsidRDefault="008629A2" w:rsidP="008629A2">
      <w:pPr>
        <w:pStyle w:val="RStekst"/>
      </w:pPr>
      <w:r>
        <w:t xml:space="preserve">Ljubljana, </w:t>
      </w:r>
      <w:r w:rsidR="00DF1A26">
        <w:t>19.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B5C13"/>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636F"/>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86A7A"/>
    <w:rsid w:val="00B9278C"/>
    <w:rsid w:val="00B92F18"/>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DF1A26"/>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uiPriority w:val="1"/>
    <w:qFormat/>
    <w:rsid w:val="00C64EFF"/>
    <w:pPr>
      <w:keepLines/>
      <w:numPr>
        <w:numId w:val="8"/>
      </w:numPr>
      <w:spacing w:before="0" w:after="40"/>
    </w:pPr>
    <w:rPr>
      <w:bCs w:val="0"/>
    </w:rPr>
  </w:style>
  <w:style w:type="paragraph" w:customStyle="1" w:styleId="RSnatevanje2">
    <w:name w:val="RS naštevanje 2"/>
    <w:basedOn w:val="RSnatevanje"/>
    <w:link w:val="RSnatevanje2Znak"/>
    <w:uiPriority w:val="1"/>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uiPriority w:val="1"/>
    <w:rsid w:val="00C64EFF"/>
    <w:rPr>
      <w:rFonts w:asciiTheme="minorHAnsi" w:hAnsiTheme="minorHAnsi"/>
      <w:lang w:eastAsia="en-US"/>
    </w:rPr>
  </w:style>
  <w:style w:type="paragraph" w:customStyle="1" w:styleId="RSnatevanje3">
    <w:name w:val="RS naštevanje 3"/>
    <w:basedOn w:val="RSnatevanje2"/>
    <w:uiPriority w:val="1"/>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uiPriority w:val="5"/>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00FFD-028A-4A29-AEB9-CF2058308C28}">
  <ds:schemaRefs>
    <ds:schemaRef ds:uri="http://www.w3.org/XML/1998/namespace"/>
    <ds:schemaRef ds:uri="http://purl.org/dc/terms/"/>
    <ds:schemaRef ds:uri="http://purl.org/dc/elements/1.1/"/>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3656</Characters>
  <Application>Microsoft Office Word</Application>
  <DocSecurity>0</DocSecurity>
  <Lines>66</Lines>
  <Paragraphs>34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