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2E56D" w14:textId="2519BAE0" w:rsidR="00370406" w:rsidRPr="00370406" w:rsidRDefault="008629A2" w:rsidP="00370406">
      <w:pPr>
        <w:pStyle w:val="RSGLAVNINASLOV"/>
        <w:rPr>
          <w:spacing w:val="-2"/>
        </w:rPr>
      </w:pPr>
      <w:r w:rsidRPr="009176A9">
        <w:rPr>
          <w:spacing w:val="-2"/>
        </w:rPr>
        <w:t>Povzetek revizijskega poročila</w:t>
      </w:r>
      <w:r w:rsidR="00370406">
        <w:rPr>
          <w:spacing w:val="-2"/>
        </w:rPr>
        <w:br/>
      </w:r>
      <w:r w:rsidR="00370406" w:rsidRPr="00370406">
        <w:rPr>
          <w:spacing w:val="-2"/>
        </w:rPr>
        <w:t>Pravilnost dela poslovanja Občine Ivančna Gorica</w:t>
      </w:r>
    </w:p>
    <w:p w14:paraId="2C14E47D" w14:textId="77777777" w:rsidR="00370406" w:rsidRPr="00370406" w:rsidRDefault="00370406" w:rsidP="00370406">
      <w:pPr>
        <w:pStyle w:val="RStekst"/>
      </w:pPr>
      <w:r w:rsidRPr="00370406">
        <w:t xml:space="preserve">Računsko sodišče je revidiralo pravilnost poslovanja </w:t>
      </w:r>
      <w:r w:rsidRPr="00370406">
        <w:rPr>
          <w:b/>
        </w:rPr>
        <w:t xml:space="preserve">Občine Ivančna Gorica </w:t>
      </w:r>
      <w:r w:rsidRPr="00370406">
        <w:t>v letu 2024. Cilj revizije je bil izrek mnenja o pravilnosti poslovanja Občine Ivančna Gorica v letu 2024 v delu, ki se nanaša na plače in druge izdatke zaposlenim, vzdrževanje občinskih cest, javna naročila pri investicijskih odhodkih, tekoče transfere nepridobitnim organizacijam in ustanovam ter druga področja poslovanja (uresničevanje posebnih pravic pripadnikov romske skupnosti).</w:t>
      </w:r>
    </w:p>
    <w:p w14:paraId="388E5279" w14:textId="77777777" w:rsidR="00370406" w:rsidRPr="00370406" w:rsidRDefault="00370406" w:rsidP="00370406">
      <w:pPr>
        <w:pStyle w:val="RStekst"/>
      </w:pPr>
      <w:r w:rsidRPr="00370406">
        <w:t xml:space="preserve">Računsko sodišče je o pravilnosti dela poslovanja Občine Ivančna Gorica v letu 2024 izreklo </w:t>
      </w:r>
      <w:r w:rsidRPr="00370406">
        <w:rPr>
          <w:b/>
        </w:rPr>
        <w:t>mnenje s pridržkom,</w:t>
      </w:r>
      <w:r w:rsidRPr="00370406">
        <w:t xml:space="preserve"> ker občina ni poslovala v skladu s predpisi in določili objave javnega razpisa v naslednjih primerih:</w:t>
      </w:r>
    </w:p>
    <w:p w14:paraId="46FEB53D" w14:textId="77777777" w:rsidR="00370406" w:rsidRPr="00370406" w:rsidRDefault="00370406" w:rsidP="00F44E74">
      <w:pPr>
        <w:pStyle w:val="RSnatevanje"/>
      </w:pPr>
      <w:r w:rsidRPr="00370406">
        <w:t>ob razporeditvi na delovno mesto in imenovanju v naziv ni preverila, ali ima javna uslužbenka opravljen strokovni izpit iz upravnega postopka, oziroma ni zagotovila, da bi javna uslužbenka pristopila k opravljanju strokovnega izpita iz upravnega postopka; javni uslužbenki je obračunala in izplačala 275 EUR preveč dodatka za delovno dobo; 3 javnim uslužbencem je obračunala in izplačala skupaj 124 EUR preveč dodatka za delo v šestem oziroma sedmem zaporednem delovnem dnevu in 175 EUR premalo dodatka za delo po posebnem razporedu; 6 javnim uslužbencem ni obračunala in izplačala skupaj 504 EUR dodatka za delo v nedeljo in skupaj 185 EUR dodatka za delo na dan, ki je z zakonom določen kot dela prost dan ali praznik; 5 javnim uslužbencem pri izračunu bruto urne postavke za opravljeno delo preko polnega delovnega časa ni upoštevala položajnega dodatka;</w:t>
      </w:r>
    </w:p>
    <w:p w14:paraId="347BB15D" w14:textId="77777777" w:rsidR="00370406" w:rsidRPr="00370406" w:rsidRDefault="00370406" w:rsidP="00F44E74">
      <w:pPr>
        <w:pStyle w:val="RSnatevanje"/>
      </w:pPr>
      <w:r w:rsidRPr="00370406">
        <w:t>za 1 projekt ni pripravila investicijskega programa; ni sprejela odločitve o oddaji javnega naročila po postopku s pogajanji brez predhodne objave; v 1 primeru je prostovoljno obvestilo za predhodno transparentnost v objavo na portal javnih naročil posredovala prepozno; seznam oddanih javnih naročil, katerih vrednost je nižja od vrednosti iz prvega odstavka 21. člena Zakona o javnem naročanju, ni popoln; v 3 primerih je aneks za izvedbo dodatnih del oziroma dobavo in montažo dodatne opreme v skupnem znesku 110.034 EUR sklenila po zaključku opravljenih del oziroma po opravljeni dobavi in montaži;</w:t>
      </w:r>
    </w:p>
    <w:p w14:paraId="08500C36" w14:textId="77777777" w:rsidR="00370406" w:rsidRPr="00370406" w:rsidRDefault="00370406" w:rsidP="00F44E74">
      <w:pPr>
        <w:pStyle w:val="RSnatevanje"/>
        <w:keepLines w:val="0"/>
      </w:pPr>
      <w:r w:rsidRPr="00370406">
        <w:lastRenderedPageBreak/>
        <w:t xml:space="preserve">v pozivih k dopolnitvam vlog javnega razpisa na področju kulture je določila rok za dopolnitev vlog, ki je daljši od zakonsko predpisanega; komisija za vodenje postopka javnega razpisa na področju kulture je pri vrednotenju programov in projektov kulturnih društev razpoložljiva sredstva za sofinanciranje programov in projektov kulturnih društev razdelila na več področij in zaradi tega določila različno vrednost točk za posamezna področja, čeprav takšen način razdelitve </w:t>
      </w:r>
      <w:r w:rsidRPr="00F44E74">
        <w:t>sredstev</w:t>
      </w:r>
      <w:r w:rsidRPr="00370406">
        <w:t xml:space="preserve"> ni bil predviden v objavi javnega razpisa na področju kulture; v razpisni dokumentaciji na področju mladine in razpisni dokumentaciji za sofinanciranje drugih programov in projektov oziroma v Pravilniku za sofinanciranje mladinskih programov in projektov iz proračuna Občine Ivančna Gorica in v Pravilniku o sofinanciranju programov in projektov izvajalcev, ki niso predmet drugih javnih razpisov, iz proračuna Občine Ivančna Gorica ni navedla načina uporabe vseh meril; iz predložene dokumentacije ni razvidno, kako sta komisiji, imenovani za vodenje postopkov javnega razpisa na področju mladine in javnega razpisa za sofinanciranje drugih programov in projektov, dodelili točke na podlagi meril, za katera ni bil določen način njihove uporabe, za nekatera merila pa sta komisiji upoštevali način uporabe oziroma novo merilo in način njegove uporabe, kot sta to določili sami; javnega razpisa za sofinanciranje drugih programov in projektov ni objavila v Uradnem listu RS oziroma v drugih sredstvih javnega obveščanja; na svetovni splet ni posredovala javno dostopnih informacij javnega značaja iz 2 pogodb o sofinanciranju oziroma dodelitvi javnih sredstev brez razpisa.</w:t>
      </w:r>
    </w:p>
    <w:p w14:paraId="21CC44C3" w14:textId="5A2FC8D7" w:rsidR="003D1FAE" w:rsidRDefault="00370406" w:rsidP="003D1FAE">
      <w:pPr>
        <w:pStyle w:val="RStekst"/>
      </w:pPr>
      <w:r w:rsidRPr="00370406">
        <w:t xml:space="preserve">Računsko sodišče je Občini Ivančna Gorica podalo </w:t>
      </w:r>
      <w:r w:rsidRPr="00370406">
        <w:rPr>
          <w:b/>
        </w:rPr>
        <w:t>priporočila</w:t>
      </w:r>
      <w:r w:rsidRPr="00370406">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5424E38D" w14:textId="77777777" w:rsidR="00C572B5" w:rsidRDefault="00C572B5" w:rsidP="003D1FAE">
      <w:pPr>
        <w:pStyle w:val="RStekst"/>
      </w:pPr>
    </w:p>
    <w:p w14:paraId="35897DF7" w14:textId="6D1038AD" w:rsidR="008629A2" w:rsidRDefault="008629A2" w:rsidP="008629A2">
      <w:pPr>
        <w:pStyle w:val="RStekst"/>
      </w:pPr>
      <w:r>
        <w:t xml:space="preserve">Ljubljana, </w:t>
      </w:r>
      <w:r w:rsidR="00370406">
        <w:t>18. decembra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935870960">
    <w:abstractNumId w:val="18"/>
  </w:num>
  <w:num w:numId="2" w16cid:durableId="766197701">
    <w:abstractNumId w:val="11"/>
  </w:num>
  <w:num w:numId="3" w16cid:durableId="276059266">
    <w:abstractNumId w:val="19"/>
    <w:lvlOverride w:ilvl="0">
      <w:startOverride w:val="1"/>
    </w:lvlOverride>
  </w:num>
  <w:num w:numId="4" w16cid:durableId="872350701">
    <w:abstractNumId w:val="22"/>
  </w:num>
  <w:num w:numId="5" w16cid:durableId="1796294603">
    <w:abstractNumId w:val="4"/>
  </w:num>
  <w:num w:numId="6" w16cid:durableId="2095204502">
    <w:abstractNumId w:val="16"/>
  </w:num>
  <w:num w:numId="7" w16cid:durableId="215971996">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475145351">
    <w:abstractNumId w:val="12"/>
  </w:num>
  <w:num w:numId="9" w16cid:durableId="1559366780">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717752367">
    <w:abstractNumId w:val="10"/>
  </w:num>
  <w:num w:numId="11" w16cid:durableId="2143190490">
    <w:abstractNumId w:val="1"/>
  </w:num>
  <w:num w:numId="12" w16cid:durableId="2009819339">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276374880">
    <w:abstractNumId w:val="14"/>
  </w:num>
  <w:num w:numId="14" w16cid:durableId="1649936015">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1540512453">
    <w:abstractNumId w:val="9"/>
  </w:num>
  <w:num w:numId="16" w16cid:durableId="974021928">
    <w:abstractNumId w:val="17"/>
  </w:num>
  <w:num w:numId="17" w16cid:durableId="746346479">
    <w:abstractNumId w:val="13"/>
  </w:num>
  <w:num w:numId="18" w16cid:durableId="287977769">
    <w:abstractNumId w:val="21"/>
  </w:num>
  <w:num w:numId="19" w16cid:durableId="75711650">
    <w:abstractNumId w:val="2"/>
  </w:num>
  <w:num w:numId="20" w16cid:durableId="215434188">
    <w:abstractNumId w:val="7"/>
  </w:num>
  <w:num w:numId="21" w16cid:durableId="418798053">
    <w:abstractNumId w:val="3"/>
  </w:num>
  <w:num w:numId="22" w16cid:durableId="1160391365">
    <w:abstractNumId w:val="23"/>
  </w:num>
  <w:num w:numId="23" w16cid:durableId="169220428">
    <w:abstractNumId w:val="6"/>
  </w:num>
  <w:num w:numId="24" w16cid:durableId="1596134494">
    <w:abstractNumId w:val="5"/>
  </w:num>
  <w:num w:numId="25" w16cid:durableId="441922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132248">
    <w:abstractNumId w:val="0"/>
  </w:num>
  <w:num w:numId="27" w16cid:durableId="146231086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2FC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31A2A"/>
    <w:rsid w:val="003412E4"/>
    <w:rsid w:val="00356C3D"/>
    <w:rsid w:val="0036638F"/>
    <w:rsid w:val="003700A4"/>
    <w:rsid w:val="00370406"/>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0546"/>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44E74"/>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uiPriority w:val="4"/>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86700FFD-028A-4A29-AEB9-CF2058308C28}">
  <ds:schemaRefs>
    <ds:schemaRef ds:uri="1e3d3dff-4392-4e99-aebd-c95b4ee1afdd"/>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3656</Characters>
  <Application>Microsoft Office Word</Application>
  <DocSecurity>0</DocSecurity>
  <Lines>66</Lines>
  <Paragraphs>34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