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78B3CC61" w:rsidR="008629A2" w:rsidRPr="00F4569E" w:rsidRDefault="008629A2" w:rsidP="008629A2">
      <w:pPr>
        <w:pStyle w:val="RSGLAVNINASLOV"/>
        <w:rPr>
          <w:spacing w:val="-2"/>
        </w:rPr>
      </w:pPr>
      <w:r w:rsidRPr="009176A9">
        <w:rPr>
          <w:spacing w:val="-2"/>
        </w:rPr>
        <w:t>Povzetek revizijskega poročila</w:t>
      </w:r>
      <w:r w:rsidR="00863328">
        <w:rPr>
          <w:spacing w:val="-2"/>
        </w:rPr>
        <w:br/>
      </w:r>
      <w:r w:rsidR="00863328" w:rsidRPr="00863328">
        <w:rPr>
          <w:spacing w:val="-2"/>
        </w:rPr>
        <w:t>Uspešnost Ministrstva za solidarno prihodnost pri pripravi in izvedbi Javnega razpisa za financiranje projekta</w:t>
      </w:r>
      <w:r w:rsidR="00863328">
        <w:rPr>
          <w:spacing w:val="-2"/>
        </w:rPr>
        <w:br/>
      </w:r>
      <w:r w:rsidR="00863328" w:rsidRPr="00863328">
        <w:rPr>
          <w:spacing w:val="-2"/>
        </w:rPr>
        <w:t>"E-oskrba na daljavo"</w:t>
      </w:r>
      <w:r w:rsidRPr="009176A9">
        <w:rPr>
          <w:spacing w:val="-2"/>
        </w:rPr>
        <w:t xml:space="preserve"> </w:t>
      </w:r>
    </w:p>
    <w:p w14:paraId="778F714F" w14:textId="77777777" w:rsidR="00863328" w:rsidRPr="008F63D0" w:rsidRDefault="00863328" w:rsidP="00863328">
      <w:pPr>
        <w:pStyle w:val="RStekst"/>
      </w:pPr>
      <w:r w:rsidRPr="006A50B4">
        <w:t>Računsko sodišče je izvedlo revizijo uspešnost</w:t>
      </w:r>
      <w:r>
        <w:t>i</w:t>
      </w:r>
      <w:r w:rsidRPr="006A50B4">
        <w:t xml:space="preserve"> poslovanja </w:t>
      </w:r>
      <w:r w:rsidRPr="001604F3">
        <w:rPr>
          <w:b/>
          <w:bCs w:val="0"/>
        </w:rPr>
        <w:t>Ministrstva za solidarno prihodnost</w:t>
      </w:r>
      <w:r w:rsidRPr="006A50B4">
        <w:t xml:space="preserve"> (v</w:t>
      </w:r>
      <w:r>
        <w:t> </w:t>
      </w:r>
      <w:r w:rsidRPr="006A50B4">
        <w:t xml:space="preserve">nadaljevanju: ministrstvo) pri pripravi in izvedbi </w:t>
      </w:r>
      <w:r>
        <w:t>J</w:t>
      </w:r>
      <w:r w:rsidRPr="006A50B4">
        <w:t xml:space="preserve">avnega razpisa za financiranje projekta </w:t>
      </w:r>
      <w:r>
        <w:br/>
      </w:r>
      <w:r w:rsidRPr="006A50B4">
        <w:t xml:space="preserve">"E-oskrba na daljavo" v obdobju od 1. 8. 2023 do 30. 9. 2024. </w:t>
      </w:r>
      <w:r>
        <w:t>V reviziji</w:t>
      </w:r>
      <w:r w:rsidRPr="006A50B4">
        <w:t xml:space="preserve"> je računsko sodišče preverilo, ali so bili pri pripravi javnega razpisa določeni ustrezni cilji, merila, pogoji in mehanizmi za naknadno evalvacijo </w:t>
      </w:r>
      <w:r>
        <w:t>ter</w:t>
      </w:r>
      <w:r w:rsidRPr="006A50B4">
        <w:t xml:space="preserve"> ali je ministrstvo pri izvedbi javnega razpisa</w:t>
      </w:r>
      <w:r>
        <w:t xml:space="preserve"> </w:t>
      </w:r>
      <w:r w:rsidRPr="006A50B4">
        <w:t>spoštovalo veljavna postopkovna pravila in določila javnega razpisa</w:t>
      </w:r>
      <w:r>
        <w:t>.</w:t>
      </w:r>
    </w:p>
    <w:p w14:paraId="54FAD058" w14:textId="77777777" w:rsidR="00863328" w:rsidRPr="008F63D0" w:rsidRDefault="00863328" w:rsidP="00863328">
      <w:pPr>
        <w:pStyle w:val="RStekst"/>
      </w:pPr>
      <w:r w:rsidRPr="006A50B4">
        <w:t xml:space="preserve">Računsko sodišče je podalo mnenje, da je bilo ministrstvo pri pripravi in izvedbi javnega razpisa </w:t>
      </w:r>
      <w:r w:rsidRPr="00863328">
        <w:rPr>
          <w:rStyle w:val="RStekstBoldbarva"/>
          <w:color w:val="auto"/>
        </w:rPr>
        <w:t>delno uspešno.</w:t>
      </w:r>
    </w:p>
    <w:p w14:paraId="3517A87F" w14:textId="77777777" w:rsidR="00863328" w:rsidRPr="008F63D0" w:rsidRDefault="00863328" w:rsidP="00863328">
      <w:pPr>
        <w:pStyle w:val="RStekst"/>
      </w:pPr>
      <w:r w:rsidRPr="00A67F2A">
        <w:t>Cilji v javnem razpisu so bili določeni delno ustrezno.</w:t>
      </w:r>
      <w:r w:rsidRPr="006A50B4">
        <w:t xml:space="preserve"> </w:t>
      </w:r>
      <w:r>
        <w:t>Čeprav</w:t>
      </w:r>
      <w:r w:rsidRPr="006A50B4">
        <w:t xml:space="preserve"> so bili določeni in so izhajali iz strateških dokumentov, </w:t>
      </w:r>
      <w:r>
        <w:t>pa</w:t>
      </w:r>
      <w:r w:rsidRPr="006A50B4">
        <w:t xml:space="preserve"> so bili določeni</w:t>
      </w:r>
      <w:r w:rsidRPr="00A67F2A">
        <w:t xml:space="preserve"> </w:t>
      </w:r>
      <w:r w:rsidRPr="006A50B4">
        <w:t>pomanjkljivo. Za 2 izmed 4</w:t>
      </w:r>
      <w:r>
        <w:t> </w:t>
      </w:r>
      <w:r w:rsidRPr="006A50B4">
        <w:t>ciljev javnega razpisa sta bila določena kazalnika, ki sta določala izhodiščne in ciljne vrednosti, s čimer sta bili opredeljeni ciljni vrednosti, ki naj bi se s tema ciljema dosegli. Od 4 ciljev javnega razpisa je bil le 1</w:t>
      </w:r>
      <w:r>
        <w:t> </w:t>
      </w:r>
      <w:r w:rsidRPr="006A50B4">
        <w:t>časovno opredeljen, samo 1 merljiv, medtem ko sta bila 2 cilja določljiva, kar ni v celoti omogočalo ocenjevanja njihovega doseganja.</w:t>
      </w:r>
    </w:p>
    <w:p w14:paraId="67A7D285" w14:textId="77777777" w:rsidR="00863328" w:rsidRPr="008F63D0" w:rsidRDefault="00863328" w:rsidP="00863328">
      <w:pPr>
        <w:pStyle w:val="RStekst"/>
      </w:pPr>
      <w:r w:rsidRPr="006A50B4">
        <w:t xml:space="preserve">Nekateri pogoji za kandidiranje niso bili jasni in preverljivi, saj iz njih niso nedvoumno izhajale zahteve, ki jih je moral prijavitelj izpolnjevati, če je želel kandidirati na javnem razpisu, in so dopuščali subjektivno presojo. Ministrstvo ni jasno in nedvoumno določilo, kateri pogoji veljajo za obveznega </w:t>
      </w:r>
      <w:proofErr w:type="spellStart"/>
      <w:r w:rsidRPr="006A50B4">
        <w:t>konzorcijskega</w:t>
      </w:r>
      <w:proofErr w:type="spellEnd"/>
      <w:r w:rsidRPr="006A50B4">
        <w:t xml:space="preserve"> partnerja in kateri za morebitne druge deležnike. Pogoji so bili povezani s cilji javnega razpisa, vendar bi ministrstvo z natančnejšo opredelitvijo pogojev in njihovega dokazovanja lahko pripomoglo k njihovi pravilnejši uporabi in s tem k doseganju ciljev.</w:t>
      </w:r>
    </w:p>
    <w:p w14:paraId="2C4435F9" w14:textId="77777777" w:rsidR="00863328" w:rsidRPr="008F63D0" w:rsidRDefault="00863328" w:rsidP="00863328">
      <w:pPr>
        <w:pStyle w:val="RStekst"/>
      </w:pPr>
      <w:r w:rsidRPr="006A50B4">
        <w:t>Merila za ocenjevanje vlog so bila povezana s cilji javnega razpisa, vendar pa sta bili 2 merili od 4</w:t>
      </w:r>
      <w:r>
        <w:t> </w:t>
      </w:r>
      <w:r w:rsidRPr="006A50B4">
        <w:t>nejasni, nemerljivi in sta omogočali subjektivno presojo, saj ministrstvo ni natančno določilo, kaj bo pri posameznem merilu ocenjevalo in katere kriterije bo pri tem uporabilo. Ministrstvo ni določilo minimalnega števila točk, ki bi jih moral prejeti izbrani prijavitelj</w:t>
      </w:r>
      <w:r>
        <w:t>,</w:t>
      </w:r>
      <w:r w:rsidRPr="006A50B4">
        <w:t xml:space="preserve"> ter ni natančno določilo načina ocenjevanja in izračuna ocene.</w:t>
      </w:r>
    </w:p>
    <w:p w14:paraId="4FD75C62" w14:textId="77777777" w:rsidR="00863328" w:rsidRPr="008F63D0" w:rsidRDefault="00863328" w:rsidP="00863328">
      <w:pPr>
        <w:pStyle w:val="RStekst"/>
      </w:pPr>
      <w:r w:rsidRPr="008F63D0">
        <w:tab/>
      </w:r>
      <w:r w:rsidRPr="006A50B4">
        <w:tab/>
        <w:t>Celovita naknadna evalvacija doseganja ciljev javnega razpisa ne bo mogoča, ker ministrstvo ni določilo primernih kazalnikov in pogodbene zaveze za merjenje vseh ciljev javnega razpisa, izmed 4</w:t>
      </w:r>
      <w:r>
        <w:t> </w:t>
      </w:r>
      <w:r w:rsidRPr="006A50B4">
        <w:t xml:space="preserve">ciljev javnega razpisa pa je bil ustrezno določen samo 1 cilj razpisa. Poleg navedenega celovita naknadna evalvacija ne bo mogoča tudi zaradi nepoznavanja ciljne populacije in ker vključevanje </w:t>
      </w:r>
      <w:r w:rsidRPr="006A50B4">
        <w:lastRenderedPageBreak/>
        <w:t xml:space="preserve">novih uporabnikov v projekt </w:t>
      </w:r>
      <w:r>
        <w:t>"E</w:t>
      </w:r>
      <w:r w:rsidRPr="006A50B4">
        <w:t>-oskrb</w:t>
      </w:r>
      <w:r>
        <w:t>a</w:t>
      </w:r>
      <w:r w:rsidRPr="006A50B4">
        <w:t xml:space="preserve"> </w:t>
      </w:r>
      <w:r>
        <w:t xml:space="preserve">na daljavo" </w:t>
      </w:r>
      <w:r w:rsidRPr="006A50B4">
        <w:t>ni temeljilo na preverjanju z javnim razpisom določenih pogojev.</w:t>
      </w:r>
    </w:p>
    <w:p w14:paraId="14000E05" w14:textId="77777777" w:rsidR="00863328" w:rsidRPr="008F63D0" w:rsidRDefault="00863328" w:rsidP="00863328">
      <w:pPr>
        <w:pStyle w:val="RStekst"/>
      </w:pPr>
      <w:r w:rsidRPr="00614F5E">
        <w:t xml:space="preserve">Ministrstvo pred izvedbo javnega razpisa ni preverilo, ali obstaja več izvajalcev storitev e-oskrbe </w:t>
      </w:r>
      <w:r>
        <w:t xml:space="preserve">in </w:t>
      </w:r>
      <w:r w:rsidRPr="00614F5E">
        <w:t>na katerih območjih lahko zagotavljajo storitve e-oskrbe</w:t>
      </w:r>
      <w:r>
        <w:t>,</w:t>
      </w:r>
      <w:r w:rsidRPr="00614F5E">
        <w:t xml:space="preserve"> in temu primerno </w:t>
      </w:r>
      <w:r>
        <w:t xml:space="preserve">ni </w:t>
      </w:r>
      <w:r w:rsidRPr="00614F5E">
        <w:t xml:space="preserve">oblikovalo javnega razpisa, da bi zagotovilo učinkovito in gospodarno porabo javnih sredstev ter izbralo najbolj ugodne ponudnike. </w:t>
      </w:r>
      <w:r>
        <w:t>Poleg tega m</w:t>
      </w:r>
      <w:r w:rsidRPr="00614F5E">
        <w:t xml:space="preserve">inistrstvo ni v celoti spoštovalo veljavnih postopkovnih pravil in določil razpisne dokumentacije. Prijavo družbe Telekom </w:t>
      </w:r>
      <w:r w:rsidRPr="00D50B5C">
        <w:t xml:space="preserve">Slovenije, </w:t>
      </w:r>
      <w:proofErr w:type="spellStart"/>
      <w:r w:rsidRPr="00D50B5C">
        <w:t>d.d</w:t>
      </w:r>
      <w:proofErr w:type="spellEnd"/>
      <w:r w:rsidRPr="00D50B5C">
        <w:t xml:space="preserve">. </w:t>
      </w:r>
      <w:r w:rsidRPr="00614F5E">
        <w:t>je ministrstvo štelo za ustrezno, kljub temu da družbe Doktor 24</w:t>
      </w:r>
      <w:r w:rsidRPr="00D50B5C">
        <w:t xml:space="preserve">, zdravstvene in </w:t>
      </w:r>
      <w:proofErr w:type="spellStart"/>
      <w:r w:rsidRPr="00D50B5C">
        <w:t>telemedicinske</w:t>
      </w:r>
      <w:proofErr w:type="spellEnd"/>
      <w:r w:rsidRPr="00D50B5C">
        <w:t xml:space="preserve"> storitve,</w:t>
      </w:r>
      <w:r w:rsidRPr="00614F5E">
        <w:t xml:space="preserve"> </w:t>
      </w:r>
      <w:proofErr w:type="spellStart"/>
      <w:r w:rsidRPr="00614F5E">
        <w:t>d.o.o</w:t>
      </w:r>
      <w:proofErr w:type="spellEnd"/>
      <w:r w:rsidRPr="00614F5E">
        <w:t>., ki je tudi izvajala del storitev e-oskrbe, ni ustrezno vključilo v prijavo na javni razpis.</w:t>
      </w:r>
    </w:p>
    <w:p w14:paraId="21CC44C3" w14:textId="6126974D" w:rsidR="003D1FAE" w:rsidRDefault="00863328" w:rsidP="00863328">
      <w:pPr>
        <w:pStyle w:val="RStekst"/>
      </w:pPr>
      <w:r w:rsidRPr="00614F5E">
        <w:t xml:space="preserve">Računsko sodišče je ministrstvu podalo </w:t>
      </w:r>
      <w:r w:rsidRPr="00614F5E">
        <w:rPr>
          <w:b/>
          <w:bCs w:val="0"/>
        </w:rPr>
        <w:t>priporočila</w:t>
      </w:r>
      <w:r w:rsidRPr="00B6695F">
        <w:rPr>
          <w:b/>
          <w:bCs w:val="0"/>
        </w:rPr>
        <w:t>,</w:t>
      </w:r>
      <w:r w:rsidRPr="00614F5E">
        <w:t xml:space="preserve"> ni pa zahtevalo predložitve odzivnega poročila.</w:t>
      </w:r>
    </w:p>
    <w:p w14:paraId="5424E38D" w14:textId="77777777" w:rsidR="00C572B5" w:rsidRDefault="00C572B5" w:rsidP="003D1FAE">
      <w:pPr>
        <w:pStyle w:val="RStekst"/>
      </w:pPr>
    </w:p>
    <w:p w14:paraId="35897DF7" w14:textId="43219115" w:rsidR="008629A2" w:rsidRDefault="008629A2" w:rsidP="008629A2">
      <w:pPr>
        <w:pStyle w:val="RStekst"/>
      </w:pPr>
      <w:r>
        <w:t xml:space="preserve">Ljubljana, </w:t>
      </w:r>
      <w:r w:rsidR="00863328">
        <w:t>17. decembra 2025</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935870960">
    <w:abstractNumId w:val="18"/>
  </w:num>
  <w:num w:numId="2" w16cid:durableId="766197701">
    <w:abstractNumId w:val="11"/>
  </w:num>
  <w:num w:numId="3" w16cid:durableId="276059266">
    <w:abstractNumId w:val="19"/>
    <w:lvlOverride w:ilvl="0">
      <w:startOverride w:val="1"/>
    </w:lvlOverride>
  </w:num>
  <w:num w:numId="4" w16cid:durableId="872350701">
    <w:abstractNumId w:val="22"/>
  </w:num>
  <w:num w:numId="5" w16cid:durableId="1796294603">
    <w:abstractNumId w:val="4"/>
  </w:num>
  <w:num w:numId="6" w16cid:durableId="2095204502">
    <w:abstractNumId w:val="16"/>
  </w:num>
  <w:num w:numId="7" w16cid:durableId="215971996">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475145351">
    <w:abstractNumId w:val="12"/>
  </w:num>
  <w:num w:numId="9" w16cid:durableId="1559366780">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717752367">
    <w:abstractNumId w:val="10"/>
  </w:num>
  <w:num w:numId="11" w16cid:durableId="2143190490">
    <w:abstractNumId w:val="1"/>
  </w:num>
  <w:num w:numId="12" w16cid:durableId="2009819339">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276374880">
    <w:abstractNumId w:val="14"/>
  </w:num>
  <w:num w:numId="14" w16cid:durableId="1649936015">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1540512453">
    <w:abstractNumId w:val="9"/>
  </w:num>
  <w:num w:numId="16" w16cid:durableId="974021928">
    <w:abstractNumId w:val="17"/>
  </w:num>
  <w:num w:numId="17" w16cid:durableId="746346479">
    <w:abstractNumId w:val="13"/>
  </w:num>
  <w:num w:numId="18" w16cid:durableId="287977769">
    <w:abstractNumId w:val="21"/>
  </w:num>
  <w:num w:numId="19" w16cid:durableId="75711650">
    <w:abstractNumId w:val="2"/>
  </w:num>
  <w:num w:numId="20" w16cid:durableId="215434188">
    <w:abstractNumId w:val="7"/>
  </w:num>
  <w:num w:numId="21" w16cid:durableId="418798053">
    <w:abstractNumId w:val="3"/>
  </w:num>
  <w:num w:numId="22" w16cid:durableId="1160391365">
    <w:abstractNumId w:val="23"/>
  </w:num>
  <w:num w:numId="23" w16cid:durableId="169220428">
    <w:abstractNumId w:val="6"/>
  </w:num>
  <w:num w:numId="24" w16cid:durableId="1596134494">
    <w:abstractNumId w:val="5"/>
  </w:num>
  <w:num w:numId="25" w16cid:durableId="441922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132248">
    <w:abstractNumId w:val="0"/>
  </w:num>
  <w:num w:numId="27" w16cid:durableId="146231086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0F4903"/>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155B8"/>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3328"/>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49"/>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2.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00FFD-028A-4A29-AEB9-CF2058308C28}">
  <ds:schemaRefs>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1e3d3dff-4392-4e99-aebd-c95b4ee1af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3133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2025-12-16T14:30:00Z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