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32ECC989" w:rsidR="008629A2" w:rsidRPr="00F4569E" w:rsidRDefault="008629A2" w:rsidP="008629A2">
      <w:pPr>
        <w:pStyle w:val="RSGLAVNINASLOV"/>
        <w:rPr>
          <w:spacing w:val="-2"/>
        </w:rPr>
      </w:pPr>
      <w:r w:rsidRPr="009176A9">
        <w:rPr>
          <w:spacing w:val="-2"/>
        </w:rPr>
        <w:t>Povzetek revizijskega poročila</w:t>
      </w:r>
      <w:r w:rsidR="00D91E89">
        <w:rPr>
          <w:spacing w:val="-2"/>
        </w:rPr>
        <w:br/>
      </w:r>
      <w:r w:rsidR="00D91E89" w:rsidRPr="00D91E89">
        <w:rPr>
          <w:spacing w:val="-2"/>
        </w:rPr>
        <w:t>Pravilnost dela poslovanja Mestne občine Kranj</w:t>
      </w:r>
    </w:p>
    <w:p w14:paraId="07234F18" w14:textId="18E69F38" w:rsidR="00D91E89" w:rsidRPr="00104CFF" w:rsidRDefault="00D91E89" w:rsidP="00D91E89">
      <w:pPr>
        <w:widowControl/>
        <w:adjustRightInd w:val="0"/>
        <w:snapToGrid w:val="0"/>
        <w:spacing w:before="240" w:after="240" w:line="280" w:lineRule="exact"/>
        <w:contextualSpacing w:val="0"/>
        <w:jc w:val="both"/>
        <w:rPr>
          <w:rFonts w:asciiTheme="minorHAnsi" w:hAnsiTheme="minorHAnsi"/>
          <w:bCs/>
          <w:sz w:val="20"/>
        </w:rPr>
      </w:pPr>
      <w:r w:rsidRPr="00104CFF">
        <w:rPr>
          <w:rFonts w:asciiTheme="minorHAnsi" w:hAnsiTheme="minorHAnsi"/>
          <w:bCs/>
          <w:sz w:val="20"/>
        </w:rPr>
        <w:t xml:space="preserve">Računsko sodišče je revidiralo pravilnost poslovanja </w:t>
      </w:r>
      <w:r w:rsidRPr="00104CFF">
        <w:rPr>
          <w:rFonts w:asciiTheme="minorHAnsi" w:hAnsiTheme="minorHAnsi"/>
          <w:b/>
          <w:sz w:val="20"/>
        </w:rPr>
        <w:t>Mestne o</w:t>
      </w:r>
      <w:r w:rsidRPr="00104CFF">
        <w:rPr>
          <w:rFonts w:asciiTheme="minorHAnsi" w:hAnsiTheme="minorHAnsi"/>
          <w:b/>
          <w:bCs/>
          <w:sz w:val="20"/>
        </w:rPr>
        <w:t xml:space="preserve">bčine Kranj </w:t>
      </w:r>
      <w:r w:rsidRPr="00104CFF">
        <w:rPr>
          <w:rFonts w:asciiTheme="minorHAnsi" w:hAnsiTheme="minorHAnsi"/>
          <w:bCs/>
          <w:sz w:val="20"/>
        </w:rPr>
        <w:t xml:space="preserve">v letu 2024. Cilj revizije je bil izrek mnenja o pravilnosti poslovanja Mestne občine Kranj v letu 2024 v delu, ki se nanaša </w:t>
      </w:r>
      <w:r w:rsidRPr="00104CFF">
        <w:rPr>
          <w:rFonts w:asciiTheme="minorHAnsi" w:hAnsiTheme="minorHAnsi"/>
          <w:bCs/>
          <w:sz w:val="20"/>
          <w:lang w:eastAsia="sl-SI"/>
        </w:rPr>
        <w:t>na plače in druge izdatke zaposlenim, vzdrževanje občinskih cest, javna naročila pri investicijskih odhodkih, tekoče transfere nepridobitnim organizacijam in ustanovam ter druga področja poslovanja (sredstva za reprezentanco)</w:t>
      </w:r>
      <w:r w:rsidRPr="00104CFF">
        <w:rPr>
          <w:rFonts w:asciiTheme="minorHAnsi" w:hAnsiTheme="minorHAnsi"/>
          <w:bCs/>
          <w:sz w:val="20"/>
        </w:rPr>
        <w:t>.</w:t>
      </w:r>
    </w:p>
    <w:p w14:paraId="709E0017" w14:textId="77777777" w:rsidR="00D91E89" w:rsidRPr="00104CFF" w:rsidRDefault="00D91E89" w:rsidP="00D91E89">
      <w:pPr>
        <w:widowControl/>
        <w:adjustRightInd w:val="0"/>
        <w:snapToGrid w:val="0"/>
        <w:spacing w:before="240" w:after="240" w:line="280" w:lineRule="exact"/>
        <w:contextualSpacing w:val="0"/>
        <w:jc w:val="both"/>
        <w:rPr>
          <w:rFonts w:asciiTheme="minorHAnsi" w:hAnsiTheme="minorHAnsi"/>
          <w:bCs/>
          <w:sz w:val="20"/>
        </w:rPr>
      </w:pPr>
      <w:r w:rsidRPr="00104CFF">
        <w:rPr>
          <w:rFonts w:asciiTheme="minorHAnsi" w:hAnsiTheme="minorHAnsi"/>
          <w:bCs/>
          <w:sz w:val="20"/>
        </w:rPr>
        <w:t xml:space="preserve">Računsko sodišče je o pravilnosti dela poslovanja Mestne občine Kranj v letu 2024 izreklo </w:t>
      </w:r>
      <w:r w:rsidRPr="00DC747C">
        <w:rPr>
          <w:rStyle w:val="RStekstBoldbarva"/>
          <w:color w:val="auto"/>
        </w:rPr>
        <w:t>mnenje s pridržkom,</w:t>
      </w:r>
      <w:r w:rsidRPr="00104CFF">
        <w:rPr>
          <w:rFonts w:asciiTheme="minorHAnsi" w:hAnsiTheme="minorHAnsi"/>
          <w:bCs/>
          <w:sz w:val="20"/>
        </w:rPr>
        <w:t xml:space="preserve"> ker občina ni poslovala v skladu s predpisi ter pogodbenimi določili v naslednjih primerih:</w:t>
      </w:r>
    </w:p>
    <w:p w14:paraId="78767148" w14:textId="77777777" w:rsidR="00D91E89" w:rsidRPr="00104CFF" w:rsidRDefault="00D91E89" w:rsidP="00D91E89">
      <w:pPr>
        <w:pStyle w:val="RSnatevanje"/>
        <w:keepLines w:val="0"/>
        <w:tabs>
          <w:tab w:val="num" w:pos="397"/>
        </w:tabs>
        <w:spacing w:after="80"/>
      </w:pPr>
      <w:r w:rsidRPr="00104CFF">
        <w:t xml:space="preserve">javni uslužbenki je za izvrševanje pooblastil v zvezi z vodenjem in izvajanjem dela direktorja Skupne občinske uprave občin Gorenjske izplačala za 158 EUR prenizek položajni dodatek; 2 javnima uslužbenkama je izplačala skupaj za 1.292 EUR preveč odpravnine ob upokojitvi; </w:t>
      </w:r>
      <w:r w:rsidRPr="00104CFF">
        <w:rPr>
          <w:rStyle w:val="RStekstZnak"/>
          <w:bCs w:val="0"/>
        </w:rPr>
        <w:t>s</w:t>
      </w:r>
      <w:r>
        <w:rPr>
          <w:rStyle w:val="RStekstZnak"/>
          <w:bCs w:val="0"/>
        </w:rPr>
        <w:t> </w:t>
      </w:r>
      <w:r w:rsidRPr="00104CFF">
        <w:rPr>
          <w:rStyle w:val="RStekstZnak"/>
          <w:bCs w:val="0"/>
        </w:rPr>
        <w:t xml:space="preserve">3 javnimi uslužbenci je sklenila pogodbe o izobraževanju za </w:t>
      </w:r>
      <w:r>
        <w:rPr>
          <w:rStyle w:val="RStekstZnak"/>
          <w:bCs w:val="0"/>
        </w:rPr>
        <w:t>nadaljnje izobraževanje</w:t>
      </w:r>
      <w:r w:rsidRPr="00104CFF">
        <w:t xml:space="preserve"> brez izvedbe internega natečaja; del plače za delovno uspešnost direktorja mestne uprave je bil obračunan v okviru obsega sredstev za ta namen, ni pa bil določen na podlagi ustreznih meril; skupnega obsega sredstev za redno delovno uspešnost za plačilo direktorja mestne uprave ni oblikovala in izkazala ločeno;</w:t>
      </w:r>
    </w:p>
    <w:p w14:paraId="72E4CBF7" w14:textId="77777777" w:rsidR="00D91E89" w:rsidRPr="00104CFF" w:rsidRDefault="00D91E89" w:rsidP="00D91E89">
      <w:pPr>
        <w:pStyle w:val="RSnatevanje"/>
        <w:keepLines w:val="0"/>
        <w:tabs>
          <w:tab w:val="num" w:pos="397"/>
        </w:tabs>
        <w:spacing w:after="80"/>
      </w:pPr>
      <w:r w:rsidRPr="00104CFF">
        <w:t>dodatek k pogodbi, s katerim je dogovorila obseg del rednega vzdrževanja občinskih cest za leto</w:t>
      </w:r>
      <w:r>
        <w:t> </w:t>
      </w:r>
      <w:r w:rsidRPr="00104CFF">
        <w:t>2024, je sklenila prepozno in ni izdelala letnega plana rednega vzdrževanja cest za leto</w:t>
      </w:r>
      <w:r>
        <w:t> </w:t>
      </w:r>
      <w:r w:rsidRPr="00104CFF">
        <w:t>2024, posledično ga mestni svet ni sprejel;</w:t>
      </w:r>
    </w:p>
    <w:p w14:paraId="4E71C9D3" w14:textId="77777777" w:rsidR="00D91E89" w:rsidRPr="00104CFF" w:rsidRDefault="00D91E89" w:rsidP="00D91E89">
      <w:pPr>
        <w:pStyle w:val="RSnatevanje"/>
        <w:keepLines w:val="0"/>
        <w:tabs>
          <w:tab w:val="num" w:pos="397"/>
        </w:tabs>
        <w:spacing w:after="80"/>
      </w:pPr>
      <w:r w:rsidRPr="00104CFF">
        <w:t>plačala je obveznosti po obračunih izvajalcev v skupnem znesku 61.383 EUR, ne da bi pridobila in preverila specifikacijo opravljenih del; v 2 primerih je prevzela in plačala obveznosti v skupnem znesku 53.339 EUR za nepredvidena dela, ki so</w:t>
      </w:r>
      <w:r w:rsidRPr="00104CFF" w:rsidDel="00CA5081">
        <w:t xml:space="preserve"> </w:t>
      </w:r>
      <w:r w:rsidRPr="00104CFF">
        <w:t>presegala pogodbeno dogovorjen znesek za nepredvidena dela; s sklenitvijo 1 pogodbe je prevzela za 228.411 EUR več obveznosti, kot je imela zagotovljenih sredstev v veljavnem proračunu občine ob prevzemu obveznosti; v</w:t>
      </w:r>
      <w:r>
        <w:t> </w:t>
      </w:r>
      <w:r w:rsidRPr="00104CFF">
        <w:t>1 primeru prejete ponudbe, ki je presegala zagotovljena sredstva, ni izločila kot nedopustne; v</w:t>
      </w:r>
      <w:r>
        <w:t> </w:t>
      </w:r>
      <w:r w:rsidRPr="00104CFF">
        <w:t>razpisni dokumentaciji za izvedbo projektnega natečaja za izbiro strokovno najprimernejše rešitve ni natančno določila načina uporabe posameznih meril s podrobnimi opisi, ki bi omogočali preveritev izpolnjevanja meril za oddajo javnega naročila; v odločitvi o oddaji javnega naročila za izvedbo projektnega natečaja za izbiro strokovno najprimernejše rešitve ni medsebojno primerjala elaboratov</w:t>
      </w:r>
      <w:r>
        <w:t>,</w:t>
      </w:r>
      <w:r w:rsidRPr="00104CFF">
        <w:t xml:space="preserve"> </w:t>
      </w:r>
      <w:r>
        <w:t>da</w:t>
      </w:r>
      <w:r w:rsidRPr="00104CFF">
        <w:t xml:space="preserve"> </w:t>
      </w:r>
      <w:r>
        <w:t xml:space="preserve">bi </w:t>
      </w:r>
      <w:r w:rsidRPr="00104CFF">
        <w:t>na ta način ugotovila prednosti in slabosti posamezne ponudbe in jih razvrstila od najbolj do najmanj ugodne; v 3 primerih dokumenti investicijske dokumentacije ne vsebujejo vseh predpisanih sestavin;</w:t>
      </w:r>
    </w:p>
    <w:p w14:paraId="7E5890AB" w14:textId="77777777" w:rsidR="00D91E89" w:rsidRPr="00104CFF" w:rsidRDefault="00D91E89" w:rsidP="000F450D">
      <w:pPr>
        <w:pStyle w:val="RSnatevanje"/>
        <w:tabs>
          <w:tab w:val="num" w:pos="397"/>
        </w:tabs>
        <w:spacing w:after="80"/>
      </w:pPr>
      <w:r w:rsidRPr="00104CFF">
        <w:rPr>
          <w:lang w:eastAsia="sl-SI"/>
        </w:rPr>
        <w:lastRenderedPageBreak/>
        <w:t xml:space="preserve">v objavi javnega razpisa na področju športa in v razpisni dokumentaciji je pri posameznih področjih navedla merila, po katerih je točkovala programe, vendar je bila večina meril v razponu, način njihove uporabe pa ni bil določen; </w:t>
      </w:r>
      <w:r w:rsidRPr="00104CFF">
        <w:t xml:space="preserve">v objavi javnega razpisa na področju kulture in v razpisni dokumentaciji ni navedla načina uporabe posameznega merila; </w:t>
      </w:r>
      <w:r w:rsidRPr="00104CFF">
        <w:rPr>
          <w:lang w:eastAsia="sl-SI"/>
        </w:rPr>
        <w:t xml:space="preserve">na svetovni splet ni posredovala vseh dokumentov iz javnih razpisov na področju športa in kulture </w:t>
      </w:r>
      <w:r w:rsidRPr="00104CFF">
        <w:t>ter iz Javnega razpisa za sofinanciranje nevladnih organizacij na področju socialnega varstva za leto 2024 in javno dostopnih informacij javnega značaja iz 21 pogodb o sofinanciranju oziroma dodelitvi javnih sredstev brez razpisa;</w:t>
      </w:r>
    </w:p>
    <w:p w14:paraId="26B2FB57" w14:textId="77777777" w:rsidR="00D91E89" w:rsidRPr="00104CFF" w:rsidRDefault="00D91E89" w:rsidP="00D91E89">
      <w:pPr>
        <w:pStyle w:val="RSnatevanje"/>
        <w:keepLines w:val="0"/>
        <w:tabs>
          <w:tab w:val="num" w:pos="397"/>
        </w:tabs>
        <w:spacing w:after="80"/>
      </w:pPr>
      <w:r w:rsidRPr="00104CFF">
        <w:t>ni določila namenov, za katere se lahko porabljajo sredstva, ki jih je v proračunu občine načrtovala za reprezentanco, ni omejila oziroma določila višine sredstev, ki se lahko porabijo za posamezen namen, in ni opredelila načina spremljanja porabe teh sredstev.</w:t>
      </w:r>
    </w:p>
    <w:p w14:paraId="3B60FEF7" w14:textId="77777777" w:rsidR="00D91E89" w:rsidRPr="00104CFF" w:rsidRDefault="00D91E89" w:rsidP="00D91E89">
      <w:pPr>
        <w:pStyle w:val="RStekst"/>
      </w:pPr>
      <w:r w:rsidRPr="00104CFF">
        <w:t>Računsko sodišče je v reviziji opozorilo na dileme glede izpolnjevanja pogoja iz četrte alineje prvega</w:t>
      </w:r>
      <w:r>
        <w:t> </w:t>
      </w:r>
      <w:r w:rsidRPr="00104CFF">
        <w:t xml:space="preserve">odstavka 28. člena Zakona o javnem naročanju, da je vrednost predmeta naročanja enaka ali nižja od cen za ta predmet na trgu v primerih, ko </w:t>
      </w:r>
      <w:r>
        <w:t xml:space="preserve">se </w:t>
      </w:r>
      <w:r w:rsidRPr="00104CFF">
        <w:t>dejavnost gospodarske javne službe vzdrževanja občinskih cest izvaja</w:t>
      </w:r>
      <w:r>
        <w:t xml:space="preserve"> v razmerju</w:t>
      </w:r>
      <w:r w:rsidRPr="00104CFF">
        <w:t xml:space="preserve"> in-</w:t>
      </w:r>
      <w:proofErr w:type="spellStart"/>
      <w:r w:rsidRPr="00104CFF">
        <w:t>house</w:t>
      </w:r>
      <w:proofErr w:type="spellEnd"/>
      <w:r>
        <w:t>,</w:t>
      </w:r>
      <w:r w:rsidRPr="00104CFF">
        <w:t xml:space="preserve"> ter glede določanja cen storitev obvezne gospodarske javne službe vzdrževanja občinskih cest.</w:t>
      </w:r>
    </w:p>
    <w:p w14:paraId="35897DF7" w14:textId="35B5D843" w:rsidR="008629A2" w:rsidRDefault="00D91E89" w:rsidP="00D91E89">
      <w:pPr>
        <w:pStyle w:val="RStekst"/>
      </w:pPr>
      <w:r w:rsidRPr="00104CFF">
        <w:t xml:space="preserve">Računsko sodišče je Mestni občini Kranj podalo </w:t>
      </w:r>
      <w:r w:rsidRPr="00104CFF">
        <w:rPr>
          <w:b/>
        </w:rPr>
        <w:t>priporočili</w:t>
      </w:r>
      <w:r w:rsidRPr="00104CFF">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r>
        <w:t>.</w:t>
      </w:r>
    </w:p>
    <w:p w14:paraId="44987236" w14:textId="77777777" w:rsidR="00DC747C" w:rsidRDefault="00DC747C" w:rsidP="00D91E89">
      <w:pPr>
        <w:pStyle w:val="RStekst"/>
      </w:pPr>
    </w:p>
    <w:p w14:paraId="00C0872F" w14:textId="3ED5EF2B" w:rsidR="00DC747C" w:rsidRDefault="00DC747C" w:rsidP="00D91E89">
      <w:pPr>
        <w:pStyle w:val="RStekst"/>
      </w:pPr>
      <w:r>
        <w:t>Ljubljana, 19. decembra 2025</w:t>
      </w:r>
    </w:p>
    <w:sectPr w:rsidR="00DC747C"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 w:numId="28" w16cid:durableId="1915969777">
    <w:abstractNumId w:val="20"/>
    <w:lvlOverride w:ilvl="0">
      <w:lvl w:ilvl="0">
        <w:start w:val="1"/>
        <w:numFmt w:val="decimal"/>
        <w:lvlText w:val="%1."/>
        <w:lvlJc w:val="left"/>
        <w:pPr>
          <w:ind w:left="797"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7"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7"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426"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Arial" w:hAnsi="Arial" w:hint="default"/>
          <w:b/>
          <w:i w:val="0"/>
          <w:caps w:val="0"/>
          <w:strike w:val="0"/>
          <w:dstrike w:val="0"/>
          <w:vanish w:val="0"/>
          <w:color w:val="auto"/>
          <w:sz w:val="18"/>
          <w:u w:val="none"/>
          <w:vertAlign w:val="baseline"/>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50D"/>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E6067"/>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47BF2"/>
    <w:rsid w:val="00D51804"/>
    <w:rsid w:val="00D52EF3"/>
    <w:rsid w:val="00D611CF"/>
    <w:rsid w:val="00D65B0F"/>
    <w:rsid w:val="00D72411"/>
    <w:rsid w:val="00D862FB"/>
    <w:rsid w:val="00D91E89"/>
    <w:rsid w:val="00DA6A15"/>
    <w:rsid w:val="00DB2E3D"/>
    <w:rsid w:val="00DC503C"/>
    <w:rsid w:val="00DC747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uiPriority w:val="2"/>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uiPriority w:val="1"/>
    <w:qFormat/>
    <w:rsid w:val="00C64EFF"/>
    <w:pPr>
      <w:keepLines/>
      <w:numPr>
        <w:numId w:val="8"/>
      </w:numPr>
      <w:spacing w:before="0" w:after="40"/>
    </w:pPr>
    <w:rPr>
      <w:bCs w:val="0"/>
    </w:rPr>
  </w:style>
  <w:style w:type="paragraph" w:customStyle="1" w:styleId="RSnatevanje2">
    <w:name w:val="RS naštevanje 2"/>
    <w:basedOn w:val="RSnatevanje"/>
    <w:link w:val="RSnatevanje2Znak"/>
    <w:uiPriority w:val="1"/>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uiPriority w:val="2"/>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uiPriority w:val="2"/>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uiPriority w:val="2"/>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uiPriority w:val="2"/>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uiPriority w:val="2"/>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uiPriority w:val="1"/>
    <w:rsid w:val="00C64EFF"/>
    <w:rPr>
      <w:rFonts w:asciiTheme="minorHAnsi" w:hAnsiTheme="minorHAnsi"/>
      <w:lang w:eastAsia="en-US"/>
    </w:rPr>
  </w:style>
  <w:style w:type="paragraph" w:customStyle="1" w:styleId="RSnatevanje3">
    <w:name w:val="RS naštevanje 3"/>
    <w:basedOn w:val="RSnatevanje2"/>
    <w:uiPriority w:val="1"/>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uiPriority w:val="2"/>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purl.org/dc/terms/"/>
    <ds:schemaRef ds:uri="1e3d3dff-4392-4e99-aebd-c95b4ee1afdd"/>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3874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