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39F134D4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271B65">
        <w:rPr>
          <w:spacing w:val="-2"/>
        </w:rPr>
        <w:br/>
      </w:r>
      <w:r w:rsidR="00271B65" w:rsidRPr="00271B65">
        <w:rPr>
          <w:spacing w:val="-2"/>
        </w:rPr>
        <w:t>Zunanje izvajanje podpornih dejavnosti</w:t>
      </w:r>
      <w:r w:rsidR="00271B65">
        <w:rPr>
          <w:spacing w:val="-2"/>
        </w:rPr>
        <w:br/>
      </w:r>
      <w:r w:rsidR="00271B65" w:rsidRPr="00271B65">
        <w:rPr>
          <w:spacing w:val="-2"/>
        </w:rPr>
        <w:t>v Narodni in univerzitetni knjižnici</w:t>
      </w:r>
      <w:r w:rsidRPr="009176A9">
        <w:rPr>
          <w:spacing w:val="-2"/>
        </w:rPr>
        <w:t xml:space="preserve"> </w:t>
      </w:r>
    </w:p>
    <w:p w14:paraId="60384E36" w14:textId="77777777" w:rsidR="00271B65" w:rsidRPr="00271B65" w:rsidRDefault="00271B65" w:rsidP="00271B65">
      <w:pPr>
        <w:pStyle w:val="RStekst"/>
      </w:pPr>
      <w:r w:rsidRPr="00271B65">
        <w:t xml:space="preserve">Računsko sodišče izvaja prečno revizijo učinkovitosti zagotavljanja izbranih podpornih dejavnosti, ki so jih v letu 2022 izvajali zunanji izvajalci, v 7 javnih zavodih, in sicer v </w:t>
      </w:r>
      <w:r w:rsidRPr="00271B65">
        <w:rPr>
          <w:b/>
        </w:rPr>
        <w:t xml:space="preserve">Narodni in univerzitetni knjižnici </w:t>
      </w:r>
      <w:r w:rsidRPr="00271B65">
        <w:t>(v nadaljevanju: zavod), Slovenskem narodnem gledališču Opera in balet Ljubljana, Splošni bolnišnici Celje, Univerzitetnem kliničnem centru Ljubljana, Zdravstvenem domu Ljubljana, Univerzi v Ljubljani, Biotehniški fakulteti ter Univerzi v Ljubljani, Ekonomski fakulteti.</w:t>
      </w:r>
    </w:p>
    <w:p w14:paraId="6B1D62F4" w14:textId="77777777" w:rsidR="00271B65" w:rsidRPr="00271B65" w:rsidRDefault="00271B65" w:rsidP="00271B65">
      <w:pPr>
        <w:pStyle w:val="RStekst"/>
      </w:pPr>
      <w:r w:rsidRPr="00271B65">
        <w:rPr>
          <w:b/>
        </w:rPr>
        <w:t>Cilj revizije</w:t>
      </w:r>
      <w:r w:rsidRPr="00271B65">
        <w:t xml:space="preserve"> je izrek mnenja o učinkovitosti revidiranih javnih zavodov pri zagotavljanju izbranih podpornih dejavnosti, ki so jih v letu 2022 izvajali zunanji izvajalci. Računsko sodišče je podalo mnenje, da je bil zavod pri tem </w:t>
      </w:r>
      <w:r w:rsidRPr="00271B65">
        <w:rPr>
          <w:b/>
        </w:rPr>
        <w:t xml:space="preserve">delno učinkovit. </w:t>
      </w:r>
    </w:p>
    <w:p w14:paraId="616A15B6" w14:textId="77777777" w:rsidR="00271B65" w:rsidRPr="00271B65" w:rsidRDefault="00271B65" w:rsidP="00271B65">
      <w:pPr>
        <w:pStyle w:val="RStekst"/>
      </w:pPr>
      <w:r w:rsidRPr="00271B65">
        <w:t xml:space="preserve">Zavod pred sprejemom odločitev o oddaji storitev čiščenja, varovanja in odnosov z javnostmi v izvajanje zunanjim izvajalcem ni izdelal ustreznih analiz, s katerimi bi podprl odločitev za oddajo storitev zunanjim izvajalcem in izkazal, da je zunanje izvajanje teh storitev učinkovitejše kot izvajanje z notranjimi viri. </w:t>
      </w:r>
      <w:bookmarkStart w:id="0" w:name="_Hlk184214916"/>
    </w:p>
    <w:p w14:paraId="3DCFD6B0" w14:textId="77777777" w:rsidR="00271B65" w:rsidRPr="00271B65" w:rsidRDefault="00271B65" w:rsidP="00271B65">
      <w:pPr>
        <w:pStyle w:val="RStekst"/>
      </w:pPr>
      <w:r w:rsidRPr="00271B65">
        <w:t xml:space="preserve">Pred pripravo javnih naročil za storitve čiščenja in varovanja ter odnosov z javnostmi zavod ni raziskal stanja na trgu. </w:t>
      </w:r>
      <w:bookmarkStart w:id="1" w:name="_Hlk184214579"/>
      <w:bookmarkEnd w:id="0"/>
      <w:r w:rsidRPr="00271B65">
        <w:t>Načina izračuna ocenjene vrednosti storitev varovanja ni v celoti ustrezno pojasnil</w:t>
      </w:r>
      <w:bookmarkEnd w:id="1"/>
      <w:r w:rsidRPr="00271B65">
        <w:t>, storitve odnosov z javnostmi, ki jih je izbrani izvajalec v letu 2022 izvajal na podlagi večjega števila pogodb, pa bi bilo treba s stališča določitve ocenjene vrednosti javnega naročila upoštevati skupaj. Zaradi prenizko ocenjene vrednosti storitev odnosov z javnostmi zavod ni izpolnil obveznosti objave o oddaji teh naročil na portalu javnih naročil, s čimer bi sledil načelu preglednosti, in ni zagotovil dostopa do informacij o oddanih javnih naročilih. Izvajalca storitev čiščenja in varovanja je izbral v ustreznem postopku, vendar bi moral v postopku oddaje javnega naročila za storitve varovanja ponudbo izbranega ponudnika obravnavati kot nedopustno ter postopek oddaje javnega naročila ponoviti. Tehnične specifikacije, merila in pogoje v razpisni dokumentaciji je oblikoval tako, da so zagotavljali gospodarno in učinkovito porabo javnih sredstev ter upoštevanje vseh ostalih načel javnega naročanja. Pri izbiri izvajalca storitev s področja odnosov z javnostmi bi bilo zaradi istovrstnosti ter večletnega rednega ponavljanja javnih naročil teh storitev ravnanje zavoda učinkovitejše, če bi izvajalca izbral v katerem od bolj transparentnih postopkov, ki jih določa zakon.</w:t>
      </w:r>
    </w:p>
    <w:p w14:paraId="696BE32B" w14:textId="77777777" w:rsidR="00271B65" w:rsidRPr="00271B65" w:rsidRDefault="00271B65" w:rsidP="00271B65">
      <w:pPr>
        <w:pStyle w:val="RStekst"/>
      </w:pPr>
      <w:r w:rsidRPr="00271B65">
        <w:t xml:space="preserve">Zavod je pred sprejemom odločitve o oddaji javnega naročila storitev čiščenja oziroma varovanja preveril morebiten obstoj okoliščin, povezanih z nespoštovanjem delovne in socialne zakonodaje, ter si je zagotovil podlago za prekinitev pogodbe v primeru ugotovljenih kršitev oziroma okoliščin, ki se nanašajo na socialne vidike, saj je pogodbo oziroma okvirni sporazum z izbranim izvajalcem čiščenja oziroma varovanja sklenil pod razveznim pogojem, vendar pa po preteku določenega časa ni preveril, ali morda niso nastopile okoliščine, ki bi zahtevale razvezo pogodbe oziroma okvirnega sporazuma. </w:t>
      </w:r>
      <w:r w:rsidRPr="00271B65">
        <w:lastRenderedPageBreak/>
        <w:t xml:space="preserve">Med pogoji za sodelovanje v postopku izbire izvajalca čiščenja in varovanja je jasno in natančno določil potrebno število delavcev, med merila pa vključil tudi takšna, ki so zasledovala socialne vidike, </w:t>
      </w:r>
      <w:bookmarkStart w:id="2" w:name="_Hlk184808551"/>
      <w:r w:rsidRPr="00271B65">
        <w:t xml:space="preserve">in jim vsaj pri storitvah varovanja določil večjo utež kot drugi javni naročniki, ki so v letu 2022 objavili javna naročila storitev varovanja. </w:t>
      </w:r>
      <w:bookmarkEnd w:id="2"/>
    </w:p>
    <w:p w14:paraId="6AF6E287" w14:textId="77777777" w:rsidR="00271B65" w:rsidRPr="00271B65" w:rsidRDefault="00271B65" w:rsidP="00271B65">
      <w:pPr>
        <w:pStyle w:val="RStekst"/>
      </w:pPr>
      <w:r w:rsidRPr="00271B65">
        <w:t xml:space="preserve">Računsko sodišče je zavodu podalo </w:t>
      </w:r>
      <w:r w:rsidRPr="00271B65">
        <w:rPr>
          <w:b/>
        </w:rPr>
        <w:t>priporočili</w:t>
      </w:r>
      <w:r w:rsidRPr="00271B65">
        <w:t xml:space="preserve"> za učinkovitejše zagotavljanje podpornih dejavnosti.</w:t>
      </w:r>
    </w:p>
    <w:p w14:paraId="21CC44C3" w14:textId="3595EFFF" w:rsidR="003D1FAE" w:rsidRDefault="003D1FAE" w:rsidP="003D1FAE">
      <w:pPr>
        <w:pStyle w:val="RStekst"/>
      </w:pPr>
    </w:p>
    <w:p w14:paraId="35897DF7" w14:textId="4D10392A" w:rsidR="008629A2" w:rsidRDefault="008629A2" w:rsidP="008629A2">
      <w:pPr>
        <w:pStyle w:val="RStekst"/>
      </w:pPr>
      <w:r>
        <w:t xml:space="preserve">Ljubljana, </w:t>
      </w:r>
      <w:r w:rsidR="00794EE6">
        <w:t>23. decembra 2024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3" w:name="_Hlk172702987"/>
    <w:bookmarkStart w:id="4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849444388">
    <w:abstractNumId w:val="18"/>
  </w:num>
  <w:num w:numId="2" w16cid:durableId="658965669">
    <w:abstractNumId w:val="11"/>
  </w:num>
  <w:num w:numId="3" w16cid:durableId="1073088514">
    <w:abstractNumId w:val="19"/>
    <w:lvlOverride w:ilvl="0">
      <w:startOverride w:val="1"/>
    </w:lvlOverride>
  </w:num>
  <w:num w:numId="4" w16cid:durableId="179860804">
    <w:abstractNumId w:val="22"/>
  </w:num>
  <w:num w:numId="5" w16cid:durableId="776754102">
    <w:abstractNumId w:val="4"/>
  </w:num>
  <w:num w:numId="6" w16cid:durableId="199559146">
    <w:abstractNumId w:val="16"/>
  </w:num>
  <w:num w:numId="7" w16cid:durableId="724643344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836187261">
    <w:abstractNumId w:val="12"/>
  </w:num>
  <w:num w:numId="9" w16cid:durableId="875120078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2018967960">
    <w:abstractNumId w:val="10"/>
  </w:num>
  <w:num w:numId="11" w16cid:durableId="1367096955">
    <w:abstractNumId w:val="1"/>
  </w:num>
  <w:num w:numId="12" w16cid:durableId="756442496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063554278">
    <w:abstractNumId w:val="14"/>
  </w:num>
  <w:num w:numId="14" w16cid:durableId="394399916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54802135">
    <w:abstractNumId w:val="9"/>
  </w:num>
  <w:num w:numId="16" w16cid:durableId="74667909">
    <w:abstractNumId w:val="17"/>
  </w:num>
  <w:num w:numId="17" w16cid:durableId="275068672">
    <w:abstractNumId w:val="13"/>
  </w:num>
  <w:num w:numId="18" w16cid:durableId="1312059375">
    <w:abstractNumId w:val="21"/>
  </w:num>
  <w:num w:numId="19" w16cid:durableId="958873648">
    <w:abstractNumId w:val="2"/>
  </w:num>
  <w:num w:numId="20" w16cid:durableId="626862333">
    <w:abstractNumId w:val="7"/>
  </w:num>
  <w:num w:numId="21" w16cid:durableId="1536692220">
    <w:abstractNumId w:val="3"/>
  </w:num>
  <w:num w:numId="22" w16cid:durableId="85351948">
    <w:abstractNumId w:val="23"/>
  </w:num>
  <w:num w:numId="23" w16cid:durableId="37242646">
    <w:abstractNumId w:val="6"/>
  </w:num>
  <w:num w:numId="24" w16cid:durableId="807357633">
    <w:abstractNumId w:val="5"/>
  </w:num>
  <w:num w:numId="25" w16cid:durableId="1977833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9881794">
    <w:abstractNumId w:val="0"/>
  </w:num>
  <w:num w:numId="27" w16cid:durableId="92603911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71B65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110BE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94EE6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97A4E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1e3d3dff-4392-4e99-aebd-c95b4ee1afd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2024-12-23T12:24:00Z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