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93FF4" w14:textId="7010E70A" w:rsidR="008629A2" w:rsidRPr="00F4569E" w:rsidRDefault="008629A2" w:rsidP="008629A2">
      <w:pPr>
        <w:pStyle w:val="RSGLAVNINASLOV"/>
        <w:rPr>
          <w:spacing w:val="-2"/>
        </w:rPr>
      </w:pPr>
      <w:r w:rsidRPr="009176A9">
        <w:rPr>
          <w:spacing w:val="-2"/>
        </w:rPr>
        <w:t>Povzetek revizijskega poročila</w:t>
      </w:r>
      <w:r w:rsidR="0019613F">
        <w:rPr>
          <w:spacing w:val="-2"/>
        </w:rPr>
        <w:br/>
      </w:r>
      <w:r w:rsidR="0019613F" w:rsidRPr="0019613F">
        <w:rPr>
          <w:spacing w:val="-2"/>
        </w:rPr>
        <w:t xml:space="preserve">Zunanje izvajanje podpornih dejavnosti </w:t>
      </w:r>
      <w:r w:rsidR="00A14932">
        <w:rPr>
          <w:spacing w:val="-2"/>
        </w:rPr>
        <w:br/>
      </w:r>
      <w:r w:rsidR="0019613F" w:rsidRPr="0019613F">
        <w:rPr>
          <w:spacing w:val="-2"/>
        </w:rPr>
        <w:t>na</w:t>
      </w:r>
      <w:r w:rsidR="00A14932">
        <w:rPr>
          <w:spacing w:val="-2"/>
        </w:rPr>
        <w:t xml:space="preserve"> </w:t>
      </w:r>
      <w:r w:rsidR="0019613F" w:rsidRPr="0019613F">
        <w:rPr>
          <w:spacing w:val="-2"/>
        </w:rPr>
        <w:t>Univerzi v Ljubljani, Biotehniški fakulteti</w:t>
      </w:r>
      <w:r w:rsidRPr="009176A9">
        <w:rPr>
          <w:spacing w:val="-2"/>
        </w:rPr>
        <w:t xml:space="preserve"> </w:t>
      </w:r>
    </w:p>
    <w:p w14:paraId="4B86D0D3" w14:textId="77777777" w:rsidR="0019613F" w:rsidRDefault="0019613F" w:rsidP="0019613F">
      <w:pPr>
        <w:pStyle w:val="RStekst"/>
      </w:pPr>
      <w:bookmarkStart w:id="0" w:name="_Hlk185242949"/>
      <w:r>
        <w:t xml:space="preserve">Računsko sodišče izvaja prečno revizijo </w:t>
      </w:r>
      <w:r w:rsidRPr="00A722DE">
        <w:t>učinkovitost</w:t>
      </w:r>
      <w:r>
        <w:t>i</w:t>
      </w:r>
      <w:r w:rsidRPr="00A722DE">
        <w:t xml:space="preserve"> zagotavljanja izbranih podpornih dejavnosti, ki so jih v letu 2022 izvajali zunanji izvajalci, v 7 javnih zavodih, in sicer v Narodni in univerzitetni knjižnici, Slovenskem narodnem gledališču Opera in balet Ljubljana, Splošni bolnišnici Celje, Univerzitetnem kliničnem centru Ljubljana, Zdravstvenem domu Ljubljana, </w:t>
      </w:r>
      <w:r w:rsidRPr="009A4C90">
        <w:rPr>
          <w:b/>
          <w:bCs w:val="0"/>
        </w:rPr>
        <w:t xml:space="preserve">Univerzi v Ljubljani, Biotehniški fakulteti </w:t>
      </w:r>
      <w:r>
        <w:t>(v nadaljevanju: fakulteta)</w:t>
      </w:r>
      <w:r w:rsidRPr="00A722DE">
        <w:t xml:space="preserve"> ter Univerzi v Ljubljani, Ekonomski fakulteti.</w:t>
      </w:r>
    </w:p>
    <w:bookmarkEnd w:id="0"/>
    <w:p w14:paraId="0E061109" w14:textId="77777777" w:rsidR="0019613F" w:rsidRDefault="0019613F" w:rsidP="0019613F">
      <w:pPr>
        <w:pStyle w:val="RStekst"/>
      </w:pPr>
      <w:r w:rsidRPr="00BA0031">
        <w:rPr>
          <w:b/>
          <w:bCs w:val="0"/>
        </w:rPr>
        <w:t>Cilj revizije</w:t>
      </w:r>
      <w:r>
        <w:t xml:space="preserve"> je izrek mnenja o učinkovitosti revidiranih javnih zavodov </w:t>
      </w:r>
      <w:r w:rsidRPr="00660F0B">
        <w:t>pri zagotavljanj</w:t>
      </w:r>
      <w:r>
        <w:t xml:space="preserve">u izbranih podpornih dejavnosti, ki so jih </w:t>
      </w:r>
      <w:r w:rsidRPr="00660F0B">
        <w:t>v letu 2022</w:t>
      </w:r>
      <w:r>
        <w:t xml:space="preserve"> izvajali zunanji izvajalci. Računsko sodišče je podalo mnenje, da je bila fakulteta pri tem </w:t>
      </w:r>
      <w:r w:rsidRPr="0019613F">
        <w:rPr>
          <w:rStyle w:val="RStekstBoldbarva"/>
          <w:color w:val="auto"/>
        </w:rPr>
        <w:t>delno učinkovita.</w:t>
      </w:r>
    </w:p>
    <w:p w14:paraId="19C84CB4" w14:textId="77777777" w:rsidR="0019613F" w:rsidRDefault="0019613F" w:rsidP="0019613F">
      <w:pPr>
        <w:pStyle w:val="RStekst"/>
      </w:pPr>
      <w:r>
        <w:t xml:space="preserve">Fakulteta pred sprejemom odločitve o oddaji storitev čiščenja, varovanja in odnosov z javnostmi ni izdelala ustreznih analiz, s katerimi bi podprla odločitev za oddajo storitev zunanjim izvajalcem in izkazala, da je zunanje izvajanje teh storitev učinkovitejše kot izvajanje z notranjimi viri. </w:t>
      </w:r>
    </w:p>
    <w:p w14:paraId="34336557" w14:textId="77777777" w:rsidR="0019613F" w:rsidRDefault="0019613F" w:rsidP="0019613F">
      <w:pPr>
        <w:pStyle w:val="RStekst"/>
      </w:pPr>
      <w:r>
        <w:t xml:space="preserve">Pred pripravo javnih naročil za storitve čiščenja in varovanja ter odnosov z javnostmi fakulteta ni raziskala stanja na trgu. Ocenjeno vrednost javnih naročil čiščenja in varovanja je oblikovala na podlagi ustreznih podatkov, vendar pa ni v celoti ustrezno pojasnila oziroma predvidela gibanja njihove vrednosti v prihodnosti. Pri izbiri izvajalca čiščenja in varovanja je izbrala ustrezno vrsto postopka, zagotovila preglednost in enakopravno obravnavo ponudnikov, tehnične specifikacije, merila in pogoje v razpisni dokumentaciji pa je oblikovala tako, da so zagotavljali gospodarno in učinkovito porabo javnih sredstev ter upoštevanje vseh ostalih načel javnega naročanja. Vendar pa bi pri izbiri izvajalca storitev odnosov z javnostmi ravnala učinkoviteje, če bi glede na trajanje sodelovanja izvajalko storitev namesto v evidenčnem postopku izbrala v katerem od bolj transparentnih postopkov, ki jih določa zakon. Ker fakulteta ni objavila popolnega seznama evidenčnih javnih naročil, ni zagotovila preglednosti izvajanja javnih naročil in s tem dostopa do informacij o oddanih javnih naročilih. </w:t>
      </w:r>
    </w:p>
    <w:p w14:paraId="32C38D2D" w14:textId="77777777" w:rsidR="0019613F" w:rsidRDefault="0019613F" w:rsidP="0019613F">
      <w:pPr>
        <w:pStyle w:val="RStekst"/>
      </w:pPr>
      <w:r>
        <w:t xml:space="preserve">Fakulteta je pred sprejemom odločitve o oddaji javnega naročila storitev čiščenja preverila morebiten obstoj okoliščin, povezanih z nespoštovanjem delovne in socialne zakonodaje pri izbranem izvajalcu in njegovih zakonitih zastopnikih, pri javnem naročilu storitev varovanja pa je preveritve opravila le za enega od gospodarskih subjektov iz skupne ponudbe. Fakulteta si je zagotovila podlago za prekinitev pogodbe v primeru ugotovljenih kršitev oziroma okoliščin, ki se nanašajo na socialne vidike, saj je pogodbo z izbranim izvajalcem čiščenja in varovanja sklenila pod razveznim pogojem ter redno opravljala preveritve pri obeh izvajalcih v predpisanih intervalih. Med pogoji za sodelovanje v postopku izbire izvajalca čiščenja in varovanja je jasno in natančno določila potrebno število delavcev, med merila pa vključila tudi takšno, ki je zasledovalo socialne vidike, </w:t>
      </w:r>
      <w:r>
        <w:lastRenderedPageBreak/>
        <w:t>vendar ga je pri storitvah varovanja obtežila tako, da bi bil vpliv socialnega merila na izbiro ponudnika zanemarljiv.</w:t>
      </w:r>
    </w:p>
    <w:p w14:paraId="21CC44C3" w14:textId="130BD7A2" w:rsidR="003D1FAE" w:rsidRDefault="0019613F" w:rsidP="0019613F">
      <w:pPr>
        <w:pStyle w:val="RStekst"/>
      </w:pPr>
      <w:r>
        <w:t xml:space="preserve">Fakulteta je med revizijskim postopkom izvedla ustrezne postopke za odpravo ugotovljenih nesmotrnosti, zato računsko sodišče ni zahtevalo odzivnega poročila, je pa fakulteti podalo </w:t>
      </w:r>
      <w:r w:rsidRPr="00BD3685">
        <w:rPr>
          <w:b/>
          <w:bCs w:val="0"/>
        </w:rPr>
        <w:t>priporočili</w:t>
      </w:r>
      <w:r w:rsidRPr="005436F3">
        <w:t xml:space="preserve"> za učinkovitejše zagotavljanje podpornih dejavnosti.</w:t>
      </w:r>
    </w:p>
    <w:p w14:paraId="5424E38D" w14:textId="77777777" w:rsidR="00C572B5" w:rsidRDefault="00C572B5" w:rsidP="003D1FAE">
      <w:pPr>
        <w:pStyle w:val="RStekst"/>
      </w:pPr>
    </w:p>
    <w:p w14:paraId="35897DF7" w14:textId="3F41DE9B" w:rsidR="008629A2" w:rsidRDefault="008629A2" w:rsidP="008629A2">
      <w:pPr>
        <w:pStyle w:val="RStekst"/>
      </w:pPr>
      <w:r>
        <w:t xml:space="preserve">Ljubljana, </w:t>
      </w:r>
      <w:r w:rsidR="00A323A7">
        <w:t>23. decembra 2024</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364955130"/>
      <w:docPartObj>
        <w:docPartGallery w:val="Page Numbers (Bottom of Page)"/>
        <w:docPartUnique/>
      </w:docPartObj>
    </w:sdtPr>
    <w:sdtEndPr>
      <w:rPr>
        <w:rStyle w:val="tevilkastrani"/>
        <w:szCs w:val="17"/>
      </w:rPr>
    </w:sdtEndPr>
    <w:sdtContent>
      <w:p w14:paraId="3EC5A8E8" w14:textId="41608489"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C572B5">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111191425"/>
      <w:docPartObj>
        <w:docPartGallery w:val="Page Numbers (Bottom of Page)"/>
        <w:docPartUnique/>
      </w:docPartObj>
    </w:sdtPr>
    <w:sdtEndPr>
      <w:rPr>
        <w:rStyle w:val="Privzetapisavaodstavka"/>
      </w:rPr>
    </w:sdtEndPr>
    <w:sdtContent>
      <w:p w14:paraId="24C84D14" w14:textId="0CF6CEE9"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2B0514">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1AD7E" w14:textId="77777777" w:rsidR="002B0514" w:rsidRDefault="002B0514">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54FB4" w14:textId="77777777" w:rsidR="002B0514" w:rsidRPr="00953FA7" w:rsidRDefault="002B0514" w:rsidP="002B0514">
    <w:pPr>
      <w:tabs>
        <w:tab w:val="left" w:pos="3969"/>
      </w:tabs>
      <w:spacing w:line="240" w:lineRule="exact"/>
      <w:ind w:left="1" w:firstLine="1"/>
      <w:rPr>
        <w:sz w:val="16"/>
        <w:szCs w:val="16"/>
      </w:rPr>
    </w:pPr>
    <w:bookmarkStart w:id="1" w:name="_Hlk172702987"/>
    <w:bookmarkStart w:id="2" w:name="_Hlk172702988"/>
    <w:r>
      <w:rPr>
        <w:noProof/>
        <w:sz w:val="16"/>
        <w:szCs w:val="16"/>
        <w:lang w:eastAsia="sl-SI"/>
      </w:rPr>
      <w:drawing>
        <wp:anchor distT="0" distB="0" distL="114300" distR="114300" simplePos="0" relativeHeight="251659264" behindDoc="0" locked="0" layoutInCell="1" allowOverlap="1" wp14:anchorId="04088179" wp14:editId="555BA911">
          <wp:simplePos x="0" y="0"/>
          <wp:positionH relativeFrom="page">
            <wp:posOffset>558165</wp:posOffset>
          </wp:positionH>
          <wp:positionV relativeFrom="topMargin">
            <wp:posOffset>615950</wp:posOffset>
          </wp:positionV>
          <wp:extent cx="3765600" cy="388800"/>
          <wp:effectExtent l="0" t="0" r="635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rs 30 glava word-sl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65600" cy="388800"/>
                  </a:xfrm>
                  <a:prstGeom prst="rect">
                    <a:avLst/>
                  </a:prstGeom>
                </pic:spPr>
              </pic:pic>
            </a:graphicData>
          </a:graphic>
          <wp14:sizeRelH relativeFrom="margin">
            <wp14:pctWidth>0</wp14:pctWidth>
          </wp14:sizeRelH>
          <wp14:sizeRelV relativeFrom="margin">
            <wp14:pctHeight>0</wp14:pctHeight>
          </wp14:sizeRelV>
        </wp:anchor>
      </w:drawing>
    </w:r>
    <w:r w:rsidRPr="00953FA7">
      <w:rPr>
        <w:sz w:val="16"/>
        <w:szCs w:val="16"/>
      </w:rPr>
      <w:t xml:space="preserve">Računsko sodišče Republike Slovenije </w:t>
    </w:r>
    <w:r w:rsidRPr="00953FA7">
      <w:rPr>
        <w:sz w:val="16"/>
        <w:szCs w:val="16"/>
      </w:rPr>
      <w:tab/>
      <w:t>T: 01 478 58 00</w:t>
    </w:r>
    <w:r w:rsidRPr="00953FA7">
      <w:rPr>
        <w:sz w:val="16"/>
        <w:szCs w:val="16"/>
      </w:rPr>
      <w:br/>
      <w:t>Slovenska cesta 50, 1000 Ljubljana</w:t>
    </w:r>
    <w:r w:rsidRPr="00953FA7">
      <w:rPr>
        <w:sz w:val="16"/>
        <w:szCs w:val="16"/>
      </w:rPr>
      <w:tab/>
    </w:r>
    <w:r w:rsidRPr="00953FA7">
      <w:rPr>
        <w:sz w:val="16"/>
        <w:szCs w:val="16"/>
      </w:rPr>
      <w:tab/>
      <w:t>E: sloaud@rs-rs.si</w:t>
    </w:r>
  </w:p>
  <w:p w14:paraId="0D6F5B26" w14:textId="77777777" w:rsidR="002B0514" w:rsidRPr="00284348" w:rsidRDefault="002B0514" w:rsidP="002B0514">
    <w:pPr>
      <w:tabs>
        <w:tab w:val="left" w:pos="3969"/>
      </w:tabs>
      <w:spacing w:line="240" w:lineRule="exact"/>
      <w:ind w:left="1" w:firstLine="1"/>
      <w:rPr>
        <w:sz w:val="16"/>
        <w:szCs w:val="16"/>
      </w:rPr>
    </w:pPr>
    <w:r w:rsidRPr="00953FA7">
      <w:rPr>
        <w:sz w:val="16"/>
        <w:szCs w:val="16"/>
      </w:rPr>
      <w:tab/>
      <w:t>www.rs-rs.si</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16cid:durableId="382096717">
    <w:abstractNumId w:val="18"/>
  </w:num>
  <w:num w:numId="2" w16cid:durableId="123894606">
    <w:abstractNumId w:val="11"/>
  </w:num>
  <w:num w:numId="3" w16cid:durableId="456215138">
    <w:abstractNumId w:val="19"/>
    <w:lvlOverride w:ilvl="0">
      <w:startOverride w:val="1"/>
    </w:lvlOverride>
  </w:num>
  <w:num w:numId="4" w16cid:durableId="1690637663">
    <w:abstractNumId w:val="22"/>
  </w:num>
  <w:num w:numId="5" w16cid:durableId="1921983281">
    <w:abstractNumId w:val="4"/>
  </w:num>
  <w:num w:numId="6" w16cid:durableId="517352977">
    <w:abstractNumId w:val="16"/>
  </w:num>
  <w:num w:numId="7" w16cid:durableId="102960109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16cid:durableId="1981567358">
    <w:abstractNumId w:val="12"/>
  </w:num>
  <w:num w:numId="9" w16cid:durableId="75035061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16cid:durableId="232669956">
    <w:abstractNumId w:val="10"/>
  </w:num>
  <w:num w:numId="11" w16cid:durableId="510753225">
    <w:abstractNumId w:val="1"/>
  </w:num>
  <w:num w:numId="12" w16cid:durableId="1419399589">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16cid:durableId="502621381">
    <w:abstractNumId w:val="14"/>
  </w:num>
  <w:num w:numId="14" w16cid:durableId="224268591">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16cid:durableId="2099674664">
    <w:abstractNumId w:val="9"/>
  </w:num>
  <w:num w:numId="16" w16cid:durableId="1807311163">
    <w:abstractNumId w:val="17"/>
  </w:num>
  <w:num w:numId="17" w16cid:durableId="162471403">
    <w:abstractNumId w:val="13"/>
  </w:num>
  <w:num w:numId="18" w16cid:durableId="1440175701">
    <w:abstractNumId w:val="21"/>
  </w:num>
  <w:num w:numId="19" w16cid:durableId="1988313852">
    <w:abstractNumId w:val="2"/>
  </w:num>
  <w:num w:numId="20" w16cid:durableId="1812863525">
    <w:abstractNumId w:val="7"/>
  </w:num>
  <w:num w:numId="21" w16cid:durableId="518927901">
    <w:abstractNumId w:val="3"/>
  </w:num>
  <w:num w:numId="22" w16cid:durableId="1757432145">
    <w:abstractNumId w:val="23"/>
  </w:num>
  <w:num w:numId="23" w16cid:durableId="640236977">
    <w:abstractNumId w:val="6"/>
  </w:num>
  <w:num w:numId="24" w16cid:durableId="1318460968">
    <w:abstractNumId w:val="5"/>
  </w:num>
  <w:num w:numId="25" w16cid:durableId="11694422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5357531">
    <w:abstractNumId w:val="0"/>
  </w:num>
  <w:num w:numId="27" w16cid:durableId="382757004">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hideSpelling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0321"/>
    <w:rsid w:val="00142BDB"/>
    <w:rsid w:val="00142EF5"/>
    <w:rsid w:val="00167C15"/>
    <w:rsid w:val="00185FC3"/>
    <w:rsid w:val="001908F7"/>
    <w:rsid w:val="001932BD"/>
    <w:rsid w:val="0019613F"/>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0514"/>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334F"/>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A70"/>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4932"/>
    <w:rsid w:val="00A176AE"/>
    <w:rsid w:val="00A237BC"/>
    <w:rsid w:val="00A323A7"/>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42B8A"/>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49"/>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2.xml><?xml version="1.0" encoding="utf-8"?>
<ds:datastoreItem xmlns:ds="http://schemas.openxmlformats.org/officeDocument/2006/customXml" ds:itemID="{37425C56-F088-4305-AD89-6106866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700FFD-028A-4A29-AEB9-CF2058308C28}">
  <ds:schemaRefs>
    <ds:schemaRef ds:uri="http://schemas.microsoft.com/office/2006/documentManagement/types"/>
    <ds:schemaRef ds:uri="http://purl.org/dc/dcmityp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1e3d3dff-4392-4e99-aebd-c95b4ee1afd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3054</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2024-12-23T12:40:00Z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