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D00C17E" w:rsidR="008629A2" w:rsidRPr="00F4569E" w:rsidRDefault="008629A2" w:rsidP="00076900">
      <w:pPr>
        <w:pStyle w:val="RSGLAVNINASLOV"/>
        <w:spacing w:before="720"/>
        <w:rPr>
          <w:spacing w:val="-2"/>
        </w:rPr>
      </w:pPr>
      <w:r w:rsidRPr="009176A9">
        <w:rPr>
          <w:spacing w:val="-2"/>
        </w:rPr>
        <w:t>Povzetek revizijskega poročila</w:t>
      </w:r>
      <w:r w:rsidR="00076900">
        <w:rPr>
          <w:spacing w:val="-2"/>
        </w:rPr>
        <w:br/>
      </w:r>
      <w:r w:rsidR="00076900" w:rsidRPr="00076900">
        <w:rPr>
          <w:spacing w:val="-2"/>
        </w:rPr>
        <w:t>Pravilnost dela poslovanja Občine Semič</w:t>
      </w:r>
      <w:r w:rsidRPr="009176A9">
        <w:rPr>
          <w:spacing w:val="-2"/>
        </w:rPr>
        <w:t xml:space="preserve"> </w:t>
      </w:r>
    </w:p>
    <w:p w14:paraId="77E497D3" w14:textId="77777777" w:rsidR="00C25791" w:rsidRDefault="00C25791" w:rsidP="00C25791">
      <w:pPr>
        <w:pStyle w:val="RStekst"/>
      </w:pPr>
      <w:r>
        <w:t xml:space="preserve">Računsko sodišče je revidiralo pravilnost dela poslovanja </w:t>
      </w:r>
      <w:r w:rsidRPr="005D789C">
        <w:rPr>
          <w:b/>
        </w:rPr>
        <w:t>Občine Semič</w:t>
      </w:r>
      <w:r>
        <w:t xml:space="preserve"> v letu 2022. Cilj revizije je bil izrek mnenja o pravilnosti poslovanja Občine Semič v letu 2022 v delu, ki se nanaša na pripravo proračuna in zaključnega računa proračuna občine ter izvrševanje proračuna občine, prodaje nepremičnega premoženja in oddaje prostorov v najem, javna naročila pri investicijskih odhodkih, tekoče transfere nepridobitnim organizacijam in ustanovam ter zadolževanje.</w:t>
      </w:r>
    </w:p>
    <w:p w14:paraId="17A16B8C" w14:textId="77777777" w:rsidR="00C25791" w:rsidRDefault="00C25791" w:rsidP="00C25791">
      <w:pPr>
        <w:pStyle w:val="RStekst"/>
      </w:pPr>
      <w:r>
        <w:t xml:space="preserve">Računsko sodišče je o pravilnosti dela poslovanja Občine Semič v letu 2022 izreklo </w:t>
      </w:r>
      <w:r w:rsidRPr="00C25791">
        <w:rPr>
          <w:rStyle w:val="RStekstBoldbarva"/>
          <w:color w:val="auto"/>
        </w:rPr>
        <w:t>mnenje s pridržkom,</w:t>
      </w:r>
      <w:r>
        <w:t xml:space="preserve"> ker občina ni poslovala v skladu s predpisi ter pogodbenimi določili v naslednjih primerih:</w:t>
      </w:r>
    </w:p>
    <w:p w14:paraId="26A790EF" w14:textId="77777777" w:rsidR="00C25791" w:rsidRDefault="00C25791" w:rsidP="00C25791">
      <w:pPr>
        <w:pStyle w:val="RSnatevanje"/>
        <w:keepLines w:val="0"/>
        <w:numPr>
          <w:ilvl w:val="0"/>
          <w:numId w:val="28"/>
        </w:numPr>
        <w:spacing w:after="80"/>
      </w:pPr>
      <w:r w:rsidRPr="0072380C">
        <w:tab/>
      </w:r>
      <w:r w:rsidRPr="0072380C">
        <w:tab/>
        <w:t>v 8 primerih prodaj oziroma menjav nepremičnega premoženja</w:t>
      </w:r>
      <w:r>
        <w:t xml:space="preserve">, </w:t>
      </w:r>
      <w:r w:rsidRPr="0072380C">
        <w:t>8 primerih oddaje stvarnega premoženja v brezplačno uporabo in 2 primerih oddaje prostorov v najem ni imenovala skrbnika pravnega posla oziroma ga ni določila v pogodbi</w:t>
      </w:r>
      <w:r>
        <w:t xml:space="preserve">; </w:t>
      </w:r>
      <w:r w:rsidRPr="0072380C">
        <w:t>z 1 uporabnikom poslovnega prostora je sklenila neposredno pogodbo o brezplačni uporabi, čeprav za to niso bili izpolnjeni pogoji</w:t>
      </w:r>
      <w:r>
        <w:t xml:space="preserve">; </w:t>
      </w:r>
      <w:r w:rsidRPr="0072380C">
        <w:tab/>
        <w:t>v najemni pogodbi in 9 pogodbah o brezplačni uporabi poslovnih prostorov ni določila obveznosti najemnika oziroma uporabnika, da krije vse predpisane stroške</w:t>
      </w:r>
      <w:r>
        <w:t xml:space="preserve">; </w:t>
      </w:r>
      <w:r w:rsidRPr="0072380C">
        <w:t>poslovni prostor je oddala v brezplačno uporabo za nedoločen čas</w:t>
      </w:r>
      <w:r>
        <w:t>;</w:t>
      </w:r>
    </w:p>
    <w:p w14:paraId="056FE7B6" w14:textId="77777777" w:rsidR="00C25791" w:rsidRDefault="00C25791" w:rsidP="00C25791">
      <w:pPr>
        <w:pStyle w:val="RSnatevanje"/>
        <w:keepLines w:val="0"/>
        <w:numPr>
          <w:ilvl w:val="0"/>
          <w:numId w:val="28"/>
        </w:numPr>
        <w:spacing w:after="80"/>
      </w:pPr>
      <w:r>
        <w:t xml:space="preserve">aneks k pogodbi zaradi izvedbe več in manj del v znesku 19.972 EUR je sklenila po zaključku del; pridobila je </w:t>
      </w:r>
      <w:r w:rsidRPr="0072380C">
        <w:t>finančno zavarovanje za dobro izvedbo pogodbenih obveznosti s prekratkim rokom veljavnosti</w:t>
      </w:r>
      <w:r>
        <w:t xml:space="preserve">; </w:t>
      </w:r>
      <w:r w:rsidRPr="0072380C">
        <w:tab/>
        <w:t xml:space="preserve">gradbeno dovoljenje za </w:t>
      </w:r>
      <w:r>
        <w:t xml:space="preserve">izvedbo del </w:t>
      </w:r>
      <w:r w:rsidRPr="0072380C">
        <w:t>je pridobila po opravljenih delih</w:t>
      </w:r>
      <w:r>
        <w:t>;</w:t>
      </w:r>
    </w:p>
    <w:p w14:paraId="3118DE26" w14:textId="77777777" w:rsidR="00C25791" w:rsidRDefault="00C25791" w:rsidP="00C25791">
      <w:pPr>
        <w:pStyle w:val="RSnatevanje"/>
        <w:keepLines w:val="0"/>
        <w:numPr>
          <w:ilvl w:val="0"/>
          <w:numId w:val="28"/>
        </w:numPr>
        <w:spacing w:after="80"/>
      </w:pPr>
      <w:r w:rsidRPr="0072380C">
        <w:tab/>
        <w:t xml:space="preserve">društvu je zagotavljala brezplačno uporabo </w:t>
      </w:r>
      <w:r>
        <w:t xml:space="preserve">javnega </w:t>
      </w:r>
      <w:r w:rsidRPr="0072380C">
        <w:t>športnega objekta oziroma površin</w:t>
      </w:r>
      <w:r>
        <w:t xml:space="preserve"> za šport v naravi</w:t>
      </w:r>
      <w:r w:rsidRPr="0072380C">
        <w:t>, ne da bi izvedla javni razpis</w:t>
      </w:r>
      <w:r>
        <w:t xml:space="preserve">; </w:t>
      </w:r>
      <w:r w:rsidRPr="0072380C">
        <w:t>ni imela sprejetega lokalnega programa za kulturo</w:t>
      </w:r>
      <w:r>
        <w:t xml:space="preserve"> </w:t>
      </w:r>
      <w:r w:rsidRPr="008F36D6">
        <w:t>za obdobje 4 let</w:t>
      </w:r>
      <w:r>
        <w:t xml:space="preserve">; prepozno prejetih dopolnitev vlog županja ni zavrgla s sklepom, zato </w:t>
      </w:r>
      <w:r w:rsidRPr="0072380C">
        <w:t>sredstva javnega razpisa na področju kulture</w:t>
      </w:r>
      <w:r>
        <w:t xml:space="preserve"> v znesku 19.127 EUR</w:t>
      </w:r>
      <w:r w:rsidRPr="0072380C">
        <w:t xml:space="preserve"> niso bila pravilno razdeljena</w:t>
      </w:r>
      <w:r>
        <w:t>;</w:t>
      </w:r>
      <w:r w:rsidRPr="0072380C">
        <w:t xml:space="preserve"> </w:t>
      </w:r>
      <w:r>
        <w:t xml:space="preserve">7 prejemnikom </w:t>
      </w:r>
      <w:r w:rsidRPr="004E30DC">
        <w:t xml:space="preserve">je dodelila in izplačala sredstva v skupnem znesku </w:t>
      </w:r>
      <w:r>
        <w:t>8.490</w:t>
      </w:r>
      <w:r w:rsidRPr="004E30DC">
        <w:t xml:space="preserve"> EUR, </w:t>
      </w:r>
      <w:r>
        <w:t xml:space="preserve">ne da bi prej izvedla </w:t>
      </w:r>
      <w:r w:rsidRPr="004E30DC">
        <w:t>javn</w:t>
      </w:r>
      <w:r>
        <w:t>i</w:t>
      </w:r>
      <w:r w:rsidRPr="004E30DC">
        <w:t xml:space="preserve"> razpis </w:t>
      </w:r>
      <w:r>
        <w:t>oziroma javni poziv; 10</w:t>
      </w:r>
      <w:r w:rsidRPr="004E30DC">
        <w:t xml:space="preserve"> prejemnikom </w:t>
      </w:r>
      <w:r>
        <w:t xml:space="preserve">je </w:t>
      </w:r>
      <w:r w:rsidRPr="004E30DC">
        <w:t xml:space="preserve">dodelila in izplačala sredstva v skupnem znesku </w:t>
      </w:r>
      <w:r>
        <w:t>12.6</w:t>
      </w:r>
      <w:r w:rsidRPr="004E30DC">
        <w:t>40</w:t>
      </w:r>
      <w:r>
        <w:t> </w:t>
      </w:r>
      <w:r w:rsidRPr="004E30DC">
        <w:t>EUR brez sklenjene pogodbe o dodelitvi sredstev</w:t>
      </w:r>
      <w:r>
        <w:t>;</w:t>
      </w:r>
    </w:p>
    <w:p w14:paraId="220F3804" w14:textId="77777777" w:rsidR="00C25791" w:rsidRDefault="00C25791" w:rsidP="00C25791">
      <w:pPr>
        <w:pStyle w:val="RSnatevanje"/>
        <w:keepLines w:val="0"/>
        <w:numPr>
          <w:ilvl w:val="0"/>
          <w:numId w:val="28"/>
        </w:numPr>
        <w:spacing w:after="80"/>
      </w:pPr>
      <w:r w:rsidRPr="008F36D6">
        <w:tab/>
      </w:r>
      <w:r w:rsidRPr="008F36D6">
        <w:tab/>
        <w:t>od javnega zavoda in 3 javnih podjetij, katerih ustanoviteljica oziroma soustanoviteljica je, podatkov o stanju zadolženosti na dan 31. 12. 2022 ni pridobila pravočasno</w:t>
      </w:r>
      <w:r>
        <w:t>.</w:t>
      </w:r>
    </w:p>
    <w:p w14:paraId="21CC44C3" w14:textId="3CE4AD9F" w:rsidR="003D1FAE" w:rsidRDefault="00C25791" w:rsidP="00C25791">
      <w:pPr>
        <w:pStyle w:val="RStekst"/>
      </w:pPr>
      <w:r w:rsidRPr="005C1DA8">
        <w:t xml:space="preserve">Računsko sodišče je Občini </w:t>
      </w:r>
      <w:r>
        <w:t>Semič</w:t>
      </w:r>
      <w:r w:rsidRPr="005C1DA8">
        <w:t xml:space="preserve"> podalo </w:t>
      </w:r>
      <w:r w:rsidRPr="00490ADC">
        <w:rPr>
          <w:b/>
        </w:rPr>
        <w:t>priporočila</w:t>
      </w:r>
      <w:r w:rsidRPr="005C1DA8">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r>
        <w:t>.</w:t>
      </w:r>
    </w:p>
    <w:p w14:paraId="6EA265D6" w14:textId="77777777" w:rsidR="00076900" w:rsidRDefault="00076900" w:rsidP="008629A2">
      <w:pPr>
        <w:pStyle w:val="RStekst"/>
      </w:pPr>
    </w:p>
    <w:p w14:paraId="35897DF7" w14:textId="3944E181" w:rsidR="008629A2" w:rsidRDefault="008629A2" w:rsidP="008629A2">
      <w:pPr>
        <w:pStyle w:val="RStekst"/>
      </w:pPr>
      <w:r>
        <w:t xml:space="preserve">Ljubljana, </w:t>
      </w:r>
      <w:r w:rsidR="00C25791">
        <w:t>1</w:t>
      </w:r>
      <w:r w:rsidR="00EF2A02">
        <w:t>2</w:t>
      </w:r>
      <w:bookmarkStart w:id="0" w:name="_GoBack"/>
      <w:bookmarkEnd w:id="0"/>
      <w:r w:rsidR="00C25791">
        <w:t>. marca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3327FA4"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76900">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88D02D6"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F2A0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5FD69A9"/>
    <w:multiLevelType w:val="multilevel"/>
    <w:tmpl w:val="10A4B764"/>
    <w:lvl w:ilvl="0">
      <w:start w:val="1"/>
      <w:numFmt w:val="bullet"/>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6900"/>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25791"/>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2A02"/>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e3d3dff-4392-4e99-aebd-c95b4ee1afd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2358</Characters>
  <Application>Microsoft Office Word</Application>
  <DocSecurity>0</DocSecurity>
  <Lines>50</Lines>
  <Paragraphs>32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2024-03-11T11:18:00Z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