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24DD217" w:rsidR="008629A2" w:rsidRPr="00F4569E" w:rsidRDefault="008629A2" w:rsidP="008629A2">
      <w:pPr>
        <w:pStyle w:val="RSGLAVNINASLOV"/>
        <w:rPr>
          <w:spacing w:val="-2"/>
        </w:rPr>
      </w:pPr>
      <w:r w:rsidRPr="009176A9">
        <w:rPr>
          <w:spacing w:val="-2"/>
        </w:rPr>
        <w:t xml:space="preserve">Povzetek revizijskega poročila </w:t>
      </w:r>
      <w:r w:rsidR="00B839F7">
        <w:rPr>
          <w:spacing w:val="-2"/>
        </w:rPr>
        <w:br/>
      </w:r>
      <w:r w:rsidR="00FA46D9" w:rsidRPr="00FA46D9">
        <w:rPr>
          <w:spacing w:val="-2"/>
        </w:rPr>
        <w:t>Pravilnost dela poslovanja Občine Selnica ob Dravi</w:t>
      </w:r>
    </w:p>
    <w:p w14:paraId="54595B0A" w14:textId="77777777" w:rsidR="00B839F7" w:rsidRPr="00E76EF7" w:rsidRDefault="00B839F7" w:rsidP="00B839F7">
      <w:pPr>
        <w:pStyle w:val="RStekst"/>
      </w:pPr>
      <w:r w:rsidRPr="00C03E19">
        <w:t>Računsko sodišče je revidiralo pravilnost</w:t>
      </w:r>
      <w:r>
        <w:t xml:space="preserve"> dela</w:t>
      </w:r>
      <w:r w:rsidRPr="00C03E19">
        <w:t xml:space="preserve"> poslovanja </w:t>
      </w:r>
      <w:r w:rsidRPr="00324642">
        <w:rPr>
          <w:b/>
        </w:rPr>
        <w:t>Občine Selnica ob Dravi</w:t>
      </w:r>
      <w:r>
        <w:t xml:space="preserve"> v letu 2022</w:t>
      </w:r>
      <w:r w:rsidRPr="00E76EF7">
        <w:t>. Cilj</w:t>
      </w:r>
      <w:r>
        <w:t> </w:t>
      </w:r>
      <w:r w:rsidRPr="00E76EF7">
        <w:t xml:space="preserve">revizije je bil izrek mnenja o pravilnosti poslovanja Občine </w:t>
      </w:r>
      <w:r>
        <w:t>Selnica ob Dravi</w:t>
      </w:r>
      <w:r w:rsidRPr="00E76EF7">
        <w:t xml:space="preserve"> v letu 202</w:t>
      </w:r>
      <w:r>
        <w:t>2</w:t>
      </w:r>
      <w:r w:rsidRPr="00E76EF7">
        <w:t xml:space="preserve"> v delu, ki se nanaša </w:t>
      </w:r>
      <w:r w:rsidRPr="009A64B8">
        <w:rPr>
          <w:lang w:eastAsia="sl-SI"/>
        </w:rPr>
        <w:t>na pripravo proračuna in zaključnega računa proračuna občine ter izvrševanje proračuna občine</w:t>
      </w:r>
      <w:r w:rsidRPr="009A64B8">
        <w:t>, prodaje nepremičnega premoženja in oddaje prostorov v najem,</w:t>
      </w:r>
      <w:r w:rsidRPr="009A64B8">
        <w:rPr>
          <w:lang w:eastAsia="sl-SI"/>
        </w:rPr>
        <w:t xml:space="preserve"> javna naročila pri investicijskih odhodkih,</w:t>
      </w:r>
      <w:r w:rsidRPr="009A64B8">
        <w:t xml:space="preserve"> </w:t>
      </w:r>
      <w:r>
        <w:t>te</w:t>
      </w:r>
      <w:r w:rsidRPr="009A64B8">
        <w:t xml:space="preserve">koče transfere nepridobitnim organizacijam in ustanovam, zadolževanje ter </w:t>
      </w:r>
      <w:r>
        <w:t>imenovanje podžupana.</w:t>
      </w:r>
    </w:p>
    <w:p w14:paraId="03066F25" w14:textId="77777777" w:rsidR="00B839F7" w:rsidRDefault="00B839F7" w:rsidP="00B839F7">
      <w:pPr>
        <w:pStyle w:val="RStekst"/>
      </w:pPr>
      <w:r w:rsidRPr="00A51D47">
        <w:t>Računsko sodišče je o pra</w:t>
      </w:r>
      <w:r>
        <w:t>vilnosti dela poslovanja Občine Selnica ob Dravi</w:t>
      </w:r>
      <w:r w:rsidRPr="00A51D47">
        <w:t xml:space="preserve"> v letu 202</w:t>
      </w:r>
      <w:r>
        <w:t>2</w:t>
      </w:r>
      <w:r w:rsidRPr="00A51D47">
        <w:t xml:space="preserve"> izreklo </w:t>
      </w:r>
      <w:r w:rsidRPr="00B839F7">
        <w:rPr>
          <w:rStyle w:val="RStekstBoldbarva"/>
          <w:color w:val="auto"/>
        </w:rPr>
        <w:t>negativno mnenje,</w:t>
      </w:r>
      <w:r w:rsidRPr="00B839F7">
        <w:t xml:space="preserve"> </w:t>
      </w:r>
      <w:r w:rsidRPr="00A51D47">
        <w:t>ker občina ni poslovala v skladu s predpisi</w:t>
      </w:r>
      <w:r>
        <w:t xml:space="preserve"> ter</w:t>
      </w:r>
      <w:r w:rsidRPr="00A51D47">
        <w:t xml:space="preserve"> pogodbenimi določili v naslednjih primerih</w:t>
      </w:r>
      <w:r>
        <w:t>:</w:t>
      </w:r>
    </w:p>
    <w:p w14:paraId="28E2901F" w14:textId="77777777" w:rsidR="00B839F7" w:rsidRDefault="00B839F7" w:rsidP="00B839F7">
      <w:pPr>
        <w:pStyle w:val="RSnatevanje"/>
        <w:keepLines w:val="0"/>
        <w:numPr>
          <w:ilvl w:val="1"/>
          <w:numId w:val="29"/>
        </w:numPr>
        <w:spacing w:after="80"/>
      </w:pPr>
      <w:r w:rsidRPr="00DD2BC2">
        <w:t>v splošnem in posebnem delu zaključnega raču</w:t>
      </w:r>
      <w:r>
        <w:t>na proračuna občine za leto 2022</w:t>
      </w:r>
      <w:r w:rsidRPr="00DD2BC2">
        <w:t xml:space="preserve"> ni prikazala</w:t>
      </w:r>
      <w:r>
        <w:t xml:space="preserve"> sprejetega proračuna za leto 2022 in</w:t>
      </w:r>
      <w:r w:rsidRPr="00DD2BC2">
        <w:t xml:space="preserve"> </w:t>
      </w:r>
      <w:r>
        <w:t>indeksa med realiziranim in sprejetim proračunom za leto 2022; obrazložitve</w:t>
      </w:r>
      <w:r w:rsidRPr="00DD2BC2">
        <w:t xml:space="preserve"> zaključnega raču</w:t>
      </w:r>
      <w:r>
        <w:t>na proračuna občine za leto 2022 in poročilo o doseženih ciljih in rezultatih</w:t>
      </w:r>
      <w:r w:rsidRPr="00DD2BC2">
        <w:t xml:space="preserve"> ni</w:t>
      </w:r>
      <w:r>
        <w:t>so</w:t>
      </w:r>
      <w:r w:rsidRPr="00DD2BC2">
        <w:t xml:space="preserve"> popoln</w:t>
      </w:r>
      <w:r>
        <w:t>i</w:t>
      </w:r>
      <w:r w:rsidRPr="00DD2BC2">
        <w:t>;</w:t>
      </w:r>
      <w:r>
        <w:t xml:space="preserve"> </w:t>
      </w:r>
      <w:r w:rsidRPr="00CD3DBC">
        <w:rPr>
          <w:lang w:eastAsia="sl-SI"/>
        </w:rPr>
        <w:t>ž</w:t>
      </w:r>
      <w:r w:rsidRPr="00CD3DBC">
        <w:t>upan</w:t>
      </w:r>
      <w:r>
        <w:t>ja</w:t>
      </w:r>
      <w:r w:rsidRPr="00CD3DBC">
        <w:t xml:space="preserve"> je občinskemu svetu prepozno poročal</w:t>
      </w:r>
      <w:r>
        <w:t>a</w:t>
      </w:r>
      <w:r w:rsidRPr="00CD3DBC">
        <w:t xml:space="preserve"> o izvrševanju proračuna v prvem polletju </w:t>
      </w:r>
      <w:r>
        <w:t xml:space="preserve">2022; </w:t>
      </w:r>
      <w:r w:rsidRPr="003E54BA">
        <w:t>porabljenih sredstev splošne proračunske re</w:t>
      </w:r>
      <w:r>
        <w:t>zervacije v skupnem znesku 10.185</w:t>
      </w:r>
      <w:r w:rsidRPr="003E54BA">
        <w:t xml:space="preserve"> EUR ni razporedila v proračun občine za leto </w:t>
      </w:r>
      <w:r>
        <w:t>2022;</w:t>
      </w:r>
      <w:r w:rsidRPr="002C2BC1">
        <w:t xml:space="preserve"> </w:t>
      </w:r>
      <w:r w:rsidRPr="007F02FF">
        <w:t>ni zagotovila evidentiranja predobremenitev proračuna oziroma ni vzpostavila evidence prevzetih obveznosti v breme proračunov prihodnjih let</w:t>
      </w:r>
      <w:r w:rsidRPr="000644F4">
        <w:t xml:space="preserve">; </w:t>
      </w:r>
      <w:r w:rsidRPr="00DD2BC2">
        <w:t>pri plačilu obveznosti iz proračuna ni upoštevala zakonskih plačilnih rokov</w:t>
      </w:r>
      <w:r>
        <w:t>;</w:t>
      </w:r>
    </w:p>
    <w:p w14:paraId="16BFB927" w14:textId="77777777" w:rsidR="00B839F7" w:rsidRDefault="00B839F7" w:rsidP="00B839F7">
      <w:pPr>
        <w:pStyle w:val="RSnatevanje"/>
        <w:keepLines w:val="0"/>
        <w:numPr>
          <w:ilvl w:val="1"/>
          <w:numId w:val="29"/>
        </w:numPr>
        <w:spacing w:after="80"/>
      </w:pPr>
      <w:r w:rsidRPr="000644F4">
        <w:t>evidenca neprem</w:t>
      </w:r>
      <w:r>
        <w:t>ičnega premoženja in načrt razpolaganja z nepremičnim in premičnim premoženjem občine za leto 2022 nista popolna; nepremičnine, ki so bile</w:t>
      </w:r>
      <w:r w:rsidRPr="00A24086">
        <w:t xml:space="preserve"> predmet prodaje, je vključila v</w:t>
      </w:r>
      <w:r>
        <w:t xml:space="preserve"> načrt razpolaganja za leto 2022</w:t>
      </w:r>
      <w:r w:rsidRPr="00A24086">
        <w:t xml:space="preserve">, vendar po </w:t>
      </w:r>
      <w:r>
        <w:t>začetku postopka</w:t>
      </w:r>
      <w:r w:rsidRPr="00A24086">
        <w:t xml:space="preserve"> razpolaganja</w:t>
      </w:r>
      <w:r>
        <w:t xml:space="preserve">; v 1 primeru oddaje poslovnih prostorov v najem ni imela veljavnega načrta oddaje nepremičnega premoženja v najem; ni objavila namere o sklenitvi neposredne najeme pogodbe; poslovni prostor je oddala v najem za predolgo časovno obdobje; v aneksu ni opredelila, da se poslovni prostor oddaja v podnajem za krajše časovno obdobje oziroma v manjšem obsegu; v 1 primeru prodaje nepremičnega premoženja, 2 primerih oddaje stvarnega premoženja v najem in 1 primeru oddaje stvarnega premoženja v občasno uporabo </w:t>
      </w:r>
      <w:r w:rsidRPr="00CD3DBC">
        <w:t>ni imenovala skrbnika pravnega posla oziroma ga ni določila v pogodbi</w:t>
      </w:r>
      <w:r>
        <w:t>; 4 društvom</w:t>
      </w:r>
      <w:r w:rsidRPr="00DD2BC2">
        <w:t xml:space="preserve"> </w:t>
      </w:r>
      <w:r>
        <w:t xml:space="preserve">je </w:t>
      </w:r>
      <w:r w:rsidRPr="00DD2BC2">
        <w:t>odda</w:t>
      </w:r>
      <w:r>
        <w:t xml:space="preserve">la večnamenski prostor v občinski stavbi v brezplačno občasno uporabo, za oddajo katerega v ceniku ni imela določene uporabnine, posledično društvom uporabnine ni zaračunala; </w:t>
      </w:r>
      <w:r w:rsidRPr="00246E71">
        <w:t>ni zagotavljala popolnega in pravočasnega pobiranja prejemkov proračuna iz svoje pristojnosti ter izločanja teh prejemkov v proračun</w:t>
      </w:r>
      <w:r>
        <w:t>;</w:t>
      </w:r>
    </w:p>
    <w:p w14:paraId="542EC703" w14:textId="77777777" w:rsidR="00B839F7" w:rsidRPr="000644F4" w:rsidRDefault="00B839F7" w:rsidP="00B839F7">
      <w:pPr>
        <w:pStyle w:val="RSnatevanje"/>
        <w:keepLines w:val="0"/>
        <w:numPr>
          <w:ilvl w:val="1"/>
          <w:numId w:val="29"/>
        </w:numPr>
        <w:spacing w:after="80"/>
      </w:pPr>
      <w:r>
        <w:t>s sklenitvijo 3 pogodb in aneksa k pogodbi ter z izdajo naročilnice je</w:t>
      </w:r>
      <w:r w:rsidRPr="001827FB">
        <w:t xml:space="preserve"> prevzela več obveznosti, kot je imela za </w:t>
      </w:r>
      <w:r>
        <w:t>ta namen zagotovljenih sredstev</w:t>
      </w:r>
      <w:r w:rsidRPr="00D60469">
        <w:t xml:space="preserve"> ob</w:t>
      </w:r>
      <w:r w:rsidRPr="001827FB">
        <w:t xml:space="preserve"> prevzemu obveznosti</w:t>
      </w:r>
      <w:r>
        <w:t>, in izplačala več sredstev, kot je imela za ta namen zagotovljenih sredstev ob plačilu obveznosti;</w:t>
      </w:r>
      <w:r w:rsidRPr="001827FB">
        <w:t xml:space="preserve"> </w:t>
      </w:r>
      <w:r w:rsidRPr="001827FB">
        <w:rPr>
          <w:lang w:eastAsia="sl-SI"/>
        </w:rPr>
        <w:t xml:space="preserve">prejete ponudbe, </w:t>
      </w:r>
      <w:r w:rsidRPr="001827FB">
        <w:rPr>
          <w:lang w:eastAsia="sl-SI"/>
        </w:rPr>
        <w:lastRenderedPageBreak/>
        <w:t>ki je presegala zagotovljena sredstva v</w:t>
      </w:r>
      <w:r>
        <w:rPr>
          <w:lang w:eastAsia="sl-SI"/>
        </w:rPr>
        <w:t xml:space="preserve"> veljavnem</w:t>
      </w:r>
      <w:r w:rsidRPr="001827FB">
        <w:rPr>
          <w:lang w:eastAsia="sl-SI"/>
        </w:rPr>
        <w:t xml:space="preserve"> proračunu občine, ni izločila kot nedopustne</w:t>
      </w:r>
      <w:r>
        <w:rPr>
          <w:lang w:eastAsia="sl-SI"/>
        </w:rPr>
        <w:t xml:space="preserve">; </w:t>
      </w:r>
      <w:r>
        <w:t>v 2 primerih je s sklenitvijo</w:t>
      </w:r>
      <w:r w:rsidRPr="003E54BA">
        <w:t> </w:t>
      </w:r>
      <w:r>
        <w:t>pogodb (na isti dan</w:t>
      </w:r>
      <w:r w:rsidRPr="003E54BA">
        <w:t xml:space="preserve"> istemu izvajalcu za istovrstna</w:t>
      </w:r>
      <w:r>
        <w:t xml:space="preserve"> dela oziroma istemu izvajalcu za istovrstna dela)</w:t>
      </w:r>
      <w:r w:rsidRPr="003E54BA">
        <w:t xml:space="preserve"> javn</w:t>
      </w:r>
      <w:r>
        <w:t>a</w:t>
      </w:r>
      <w:r w:rsidRPr="003E54BA">
        <w:t xml:space="preserve"> naročil</w:t>
      </w:r>
      <w:r>
        <w:t xml:space="preserve">a </w:t>
      </w:r>
      <w:r w:rsidRPr="003E54BA">
        <w:t>razdelila in se izognila postopku javnega naročanja</w:t>
      </w:r>
      <w:r>
        <w:t xml:space="preserve">; v 2 primerih </w:t>
      </w:r>
      <w:r w:rsidRPr="00DA0180">
        <w:t xml:space="preserve">javnega naročila ni oddala po enem od predpisanih </w:t>
      </w:r>
      <w:r>
        <w:t xml:space="preserve">postopkov javnega naročanja; </w:t>
      </w:r>
      <w:r>
        <w:rPr>
          <w:lang w:eastAsia="sl-SI"/>
        </w:rPr>
        <w:t>pred uvrstitvijo 1 projekta</w:t>
      </w:r>
      <w:r w:rsidRPr="00502FAB">
        <w:rPr>
          <w:lang w:eastAsia="sl-SI"/>
        </w:rPr>
        <w:t xml:space="preserve"> v načrt razvojnih programov ni pripravila dokumenta identifikacije investicijskega projekta oziroma poenostavljene investicijske dokumentacije</w:t>
      </w:r>
      <w:r>
        <w:rPr>
          <w:lang w:eastAsia="sl-SI"/>
        </w:rPr>
        <w:t>;</w:t>
      </w:r>
      <w:r w:rsidRPr="0014592F">
        <w:t xml:space="preserve"> </w:t>
      </w:r>
      <w:r>
        <w:t>pogodbo je sklenila po začetku opravljanja</w:t>
      </w:r>
      <w:r w:rsidRPr="00502FAB">
        <w:t xml:space="preserve"> del</w:t>
      </w:r>
      <w:r>
        <w:t>;</w:t>
      </w:r>
      <w:r w:rsidRPr="0014592F">
        <w:rPr>
          <w:bCs/>
        </w:rPr>
        <w:t xml:space="preserve"> </w:t>
      </w:r>
      <w:r>
        <w:rPr>
          <w:bCs/>
        </w:rPr>
        <w:t>v 4</w:t>
      </w:r>
      <w:r w:rsidRPr="00B012CF">
        <w:rPr>
          <w:bCs/>
        </w:rPr>
        <w:t xml:space="preserve"> primerih od izvajalca ni </w:t>
      </w:r>
      <w:r>
        <w:rPr>
          <w:bCs/>
        </w:rPr>
        <w:t xml:space="preserve">pridobila finančnega zavarovanja </w:t>
      </w:r>
      <w:r>
        <w:rPr>
          <w:lang w:eastAsia="sl-SI"/>
        </w:rPr>
        <w:t>za odpravo napak v garancijskem roku</w:t>
      </w:r>
      <w:r>
        <w:rPr>
          <w:bCs/>
        </w:rPr>
        <w:t>;</w:t>
      </w:r>
    </w:p>
    <w:p w14:paraId="2195A09F" w14:textId="77777777" w:rsidR="00B839F7" w:rsidRDefault="00B839F7" w:rsidP="00B839F7">
      <w:pPr>
        <w:pStyle w:val="RSnatevanje"/>
        <w:keepLines w:val="0"/>
        <w:numPr>
          <w:ilvl w:val="1"/>
          <w:numId w:val="29"/>
        </w:numPr>
        <w:spacing w:after="80"/>
      </w:pPr>
      <w:r>
        <w:t>ni imela sprejetega lokalnega programa za kulturo za obdobje 4 let;</w:t>
      </w:r>
      <w:r w:rsidRPr="001F2CEF">
        <w:t xml:space="preserve"> </w:t>
      </w:r>
      <w:r>
        <w:t xml:space="preserve">pri javnih razpisih na področju športa in kulture ni sprejela sklepa o začetku postopka; objave javnih razpisov na področju športa, kulture in turizma niso vsebovale vseh obveznih sestavin; </w:t>
      </w:r>
      <w:r w:rsidRPr="000E608B">
        <w:t xml:space="preserve">javnega razpisa na </w:t>
      </w:r>
      <w:r w:rsidRPr="009A28A4">
        <w:t>področju športa ni objavila v uradnem glasilu lokalne skupnosti</w:t>
      </w:r>
      <w:r>
        <w:rPr>
          <w:lang w:eastAsia="sl-SI"/>
        </w:rPr>
        <w:t xml:space="preserve">; županja je v strokovno komisijo kot člana imenovala predsednika društva, ki je na javnem razpisu na področju športa prejelo 285 EUR sredstev; </w:t>
      </w:r>
      <w:r w:rsidRPr="009A28A4">
        <w:rPr>
          <w:lang w:eastAsia="sl-SI"/>
        </w:rPr>
        <w:t>predsednik in člani komisije</w:t>
      </w:r>
      <w:r>
        <w:rPr>
          <w:lang w:eastAsia="sl-SI"/>
        </w:rPr>
        <w:t xml:space="preserve"> niso podpisali izjave o prepovedi interesne povezanosti; </w:t>
      </w:r>
      <w:r>
        <w:t>pri</w:t>
      </w:r>
      <w:r w:rsidRPr="004D4F73">
        <w:t xml:space="preserve"> javnem razpisu na področju športa je uporabila neustrezn</w:t>
      </w:r>
      <w:r>
        <w:t>o</w:t>
      </w:r>
      <w:r w:rsidRPr="004D4F73">
        <w:t xml:space="preserve"> meril</w:t>
      </w:r>
      <w:r>
        <w:t xml:space="preserve">o; pri javnih razpisih na področju športa, kulture in turizma </w:t>
      </w:r>
      <w:r w:rsidRPr="00DD2BC2">
        <w:t>komisija ni opravila</w:t>
      </w:r>
      <w:r>
        <w:t xml:space="preserve"> strokovnega</w:t>
      </w:r>
      <w:r w:rsidRPr="00DD2BC2">
        <w:t xml:space="preserve"> pregleda popolnih vlog, temveč je </w:t>
      </w:r>
      <w:r>
        <w:t>razpoložljiva sredstva razdelila na podlagi točkovanja iz leta 2019; v objavi javnega razpisa na področju kulture je določila razpisni rok, krajši od 1 meseca; 5 izvajalcem športnih programov in 5 prejemnikom na drugih področjih delovanja je dodelila in izplačala sredstva v skupnem znesku 6.090 EUR, ne da bi izvedla javni razpis; s 6 nepridobitnimi organizacijami in ustanovami, ki jim je dodelila in izplačala sredstva v skupnem znesku 7.035 EUR, ni sklenila pogodb o dodelitvi sredstev; na svetovni splet ni posredovala vseh dokumentov iz javnih razpisov na področju športa, kulture in turizma ter javno dostopnih informacij javnega značaja iz pogodb o sofinanciranju oziroma dodelitvi javnih sredstev brez razpisa;</w:t>
      </w:r>
    </w:p>
    <w:p w14:paraId="043FC823" w14:textId="77777777" w:rsidR="00B839F7" w:rsidRDefault="00B839F7" w:rsidP="00B839F7">
      <w:pPr>
        <w:pStyle w:val="RSnatevanje"/>
        <w:keepLines w:val="0"/>
        <w:numPr>
          <w:ilvl w:val="1"/>
          <w:numId w:val="29"/>
        </w:numPr>
        <w:spacing w:after="80"/>
      </w:pPr>
      <w:r>
        <w:t xml:space="preserve">ni v celoti izvajala nadzora nad zadolževanjem pravnih oseb javnega sektorja na ravni občine; </w:t>
      </w:r>
      <w:r w:rsidRPr="00CC1CD1">
        <w:t xml:space="preserve">od </w:t>
      </w:r>
      <w:r>
        <w:t>3 javnih zavodov in 3 javnih podjetjih, katerih ustanoviteljica oziroma</w:t>
      </w:r>
      <w:r w:rsidRPr="00CC1CD1">
        <w:t xml:space="preserve"> soustanoviteljica je, ni pridobila podatkov o stanju </w:t>
      </w:r>
      <w:r>
        <w:t>zadolženosti na dan 31. 12. 2022;</w:t>
      </w:r>
    </w:p>
    <w:p w14:paraId="1DED880F" w14:textId="77777777" w:rsidR="00B839F7" w:rsidRDefault="00B839F7" w:rsidP="00B839F7">
      <w:pPr>
        <w:pStyle w:val="RSnatevanje"/>
        <w:keepLines w:val="0"/>
        <w:numPr>
          <w:ilvl w:val="1"/>
          <w:numId w:val="29"/>
        </w:numPr>
        <w:spacing w:after="80"/>
      </w:pPr>
      <w:r>
        <w:rPr>
          <w:lang w:eastAsia="sl-SI"/>
        </w:rPr>
        <w:t>županja v obdobju od 8. 12. 2022 do konca leta 2022 ni imenovala podžupana.</w:t>
      </w:r>
    </w:p>
    <w:p w14:paraId="21CC44C3" w14:textId="3C897AC5" w:rsidR="003D1FAE" w:rsidRDefault="00B839F7" w:rsidP="00B839F7">
      <w:pPr>
        <w:pStyle w:val="RStekst"/>
      </w:pPr>
      <w:r>
        <w:t>Računsko sodišče je Občini Selnica ob Dravi</w:t>
      </w:r>
      <w:r w:rsidRPr="00BB2E7D">
        <w:t xml:space="preserve"> podalo </w:t>
      </w:r>
      <w:r w:rsidRPr="00BB2E7D">
        <w:rPr>
          <w:b/>
        </w:rPr>
        <w:t>priporočila</w:t>
      </w:r>
      <w:r w:rsidRPr="00BB2E7D">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04C62784" w:rsidR="008629A2" w:rsidRDefault="008629A2" w:rsidP="008629A2">
      <w:pPr>
        <w:pStyle w:val="RStekst"/>
      </w:pPr>
      <w:r>
        <w:t xml:space="preserve">Ljubljana, </w:t>
      </w:r>
      <w:r w:rsidR="00B839F7">
        <w:t xml:space="preserve"> </w:t>
      </w:r>
      <w:r w:rsidR="00451FFC">
        <w:t xml:space="preserve">4. </w:t>
      </w:r>
      <w:bookmarkStart w:id="0" w:name="_GoBack"/>
      <w:bookmarkEnd w:id="0"/>
      <w:r w:rsidR="00B839F7">
        <w:t>aprila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05DF3F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51FFC">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D9FBDEA"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A46D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rPr>
        <w:rFonts w:hint="default"/>
      </w:r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5FD69A9"/>
    <w:multiLevelType w:val="multilevel"/>
    <w:tmpl w:val="10A4B764"/>
    <w:lvl w:ilvl="0">
      <w:start w:val="1"/>
      <w:numFmt w:val="bullet"/>
      <w:pStyle w:val="RSnatevanje"/>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pStyle w:val="RSnatevanje2"/>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pStyle w:val="RSnatevanje3"/>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2"/>
  </w:num>
  <w:num w:numId="3">
    <w:abstractNumId w:val="20"/>
    <w:lvlOverride w:ilvl="0">
      <w:startOverride w:val="1"/>
    </w:lvlOverride>
  </w:num>
  <w:num w:numId="4">
    <w:abstractNumId w:val="24"/>
  </w:num>
  <w:num w:numId="5">
    <w:abstractNumId w:val="4"/>
  </w:num>
  <w:num w:numId="6">
    <w:abstractNumId w:val="17"/>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3"/>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1"/>
  </w:num>
  <w:num w:numId="11">
    <w:abstractNumId w:val="1"/>
  </w:num>
  <w:num w:numId="12">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5"/>
  </w:num>
  <w:num w:numId="14">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10"/>
  </w:num>
  <w:num w:numId="16">
    <w:abstractNumId w:val="18"/>
  </w:num>
  <w:num w:numId="17">
    <w:abstractNumId w:val="14"/>
  </w:num>
  <w:num w:numId="18">
    <w:abstractNumId w:val="23"/>
  </w:num>
  <w:num w:numId="19">
    <w:abstractNumId w:val="2"/>
  </w:num>
  <w:num w:numId="20">
    <w:abstractNumId w:val="7"/>
  </w:num>
  <w:num w:numId="21">
    <w:abstractNumId w:val="3"/>
  </w:num>
  <w:num w:numId="22">
    <w:abstractNumId w:val="25"/>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21"/>
  </w:num>
  <w:num w:numId="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51FFC"/>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39F7"/>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A46D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1e3d3dff-4392-4e99-aebd-c95b4ee1afdd"/>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2024-04-04T09:37:00Z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