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3E6A115" w:rsidR="008629A2" w:rsidRPr="00F4569E" w:rsidRDefault="008629A2" w:rsidP="008629A2">
      <w:pPr>
        <w:pStyle w:val="RSGLAVNINASLOV"/>
        <w:rPr>
          <w:spacing w:val="-2"/>
        </w:rPr>
      </w:pPr>
      <w:r w:rsidRPr="009176A9">
        <w:rPr>
          <w:spacing w:val="-2"/>
        </w:rPr>
        <w:t>Povzetek revizijskega poročila</w:t>
      </w:r>
      <w:r w:rsidR="00A92019">
        <w:rPr>
          <w:spacing w:val="-2"/>
        </w:rPr>
        <w:br/>
      </w:r>
      <w:r w:rsidR="00A92019" w:rsidRPr="00A92019">
        <w:rPr>
          <w:spacing w:val="-2"/>
        </w:rPr>
        <w:t>Pravilnost dela poslovanja Občine Grosuplje</w:t>
      </w:r>
      <w:r w:rsidRPr="009176A9">
        <w:rPr>
          <w:spacing w:val="-2"/>
        </w:rPr>
        <w:t xml:space="preserve"> </w:t>
      </w:r>
    </w:p>
    <w:p w14:paraId="426C4764" w14:textId="77777777" w:rsidR="00F67D40" w:rsidRDefault="00F67D40" w:rsidP="00F67D40">
      <w:pPr>
        <w:pStyle w:val="RStekst"/>
      </w:pPr>
      <w:r>
        <w:t xml:space="preserve">Računsko sodišče je revidiralo pravilnost dela poslovanja </w:t>
      </w:r>
      <w:r>
        <w:rPr>
          <w:b/>
        </w:rPr>
        <w:t>Občine Grosuplje</w:t>
      </w:r>
      <w:r>
        <w:t xml:space="preserve"> v letu 2022. Cilj revizije je bil izrek mnenja o pravilnosti poslovanja Občine Grosuplje v letu 2022 v delu, ki se nanaša </w:t>
      </w:r>
      <w:r>
        <w:rPr>
          <w:lang w:eastAsia="sl-SI"/>
        </w:rPr>
        <w:t>na pripravo proračuna in zaključnega računa proračuna občine ter izvrševanje proračuna občine</w:t>
      </w:r>
      <w:r>
        <w:t>, prodaje nepremičnega premoženja in oddaje prostorov v najem,</w:t>
      </w:r>
      <w:r>
        <w:rPr>
          <w:lang w:eastAsia="sl-SI"/>
        </w:rPr>
        <w:t xml:space="preserve"> javna naročila pri investicijskih odhodkih,</w:t>
      </w:r>
      <w:r>
        <w:t xml:space="preserve"> tekoče transfere nepridobitnim organizacijam in ustanovam, zadolževanje ter druga področja poslovanja (imenovanje podžupana, imenovanje tajnika občine, izdatki za službena potovanja, odhodki za delovno uspešnost in odhodki za dodatke za delo v manj ugodnem delovnem času ter uresničevanje posebnih pravic pripadnikov romske skupnosti).</w:t>
      </w:r>
    </w:p>
    <w:p w14:paraId="4EFBA13E" w14:textId="77777777" w:rsidR="00F67D40" w:rsidRDefault="00F67D40" w:rsidP="00F67D40">
      <w:pPr>
        <w:pStyle w:val="RStekst"/>
      </w:pPr>
      <w:r>
        <w:t xml:space="preserve">Računsko sodišče je o pravilnosti dela poslovanja Občine Grosuplje v letu 2022 izreklo </w:t>
      </w:r>
      <w:bookmarkStart w:id="0" w:name="_GoBack"/>
      <w:r w:rsidRPr="00F67D40">
        <w:rPr>
          <w:rStyle w:val="RStekstBoldbarva"/>
          <w:color w:val="auto"/>
        </w:rPr>
        <w:t>negativno mnenje,</w:t>
      </w:r>
      <w:bookmarkEnd w:id="0"/>
      <w:r>
        <w:t xml:space="preserve"> ker občina ni poslovala v skladu s predpisi ter pogodbenimi določili v naslednjih primerih:</w:t>
      </w:r>
    </w:p>
    <w:p w14:paraId="2665A02A" w14:textId="77777777" w:rsidR="00F67D40" w:rsidRDefault="00F67D40" w:rsidP="00F67D40">
      <w:pPr>
        <w:pStyle w:val="RSnatevanje"/>
        <w:keepLines w:val="0"/>
        <w:widowControl w:val="0"/>
        <w:numPr>
          <w:ilvl w:val="0"/>
          <w:numId w:val="30"/>
        </w:numPr>
        <w:spacing w:after="80"/>
      </w:pPr>
      <w:r>
        <w:t>v splošnem in posebnem delu proračuna za leto 2022 ni prikazala realizacije prejemkov in izdatkov za leto 2020; župan ni obvestil Ministrstva za finance o sprejetem zaključnem računu proračuna občine za leto 2022; župan pri sklicu seje občinskega sveta na dnevni red ni uvrstil obravnave Poročila o realizaciji proračuna za obdobje januar–junij 2022; v splošnem in posebnem delu zaključnega računa proračuna občine za leto 2022 ni prikazala indeksa med realiziranim in sprejetim proračunom za leto 2022 ter ni zagotovila notranje revizije poslovanja za leto 2022;</w:t>
      </w:r>
    </w:p>
    <w:p w14:paraId="23BE4087" w14:textId="77777777" w:rsidR="00F67D40" w:rsidRDefault="00F67D40" w:rsidP="00F67D40">
      <w:pPr>
        <w:pStyle w:val="RSnatevanje"/>
        <w:keepLines w:val="0"/>
        <w:widowControl w:val="0"/>
        <w:numPr>
          <w:ilvl w:val="1"/>
          <w:numId w:val="31"/>
        </w:numPr>
        <w:tabs>
          <w:tab w:val="left" w:pos="708"/>
        </w:tabs>
        <w:spacing w:after="80"/>
        <w:rPr>
          <w:b/>
        </w:rPr>
      </w:pPr>
      <w:r>
        <w:t>menjavo nepremičnin je izvedla na podlagi metode neposredne pogodbe, čeprav za to ni bil izpolnjen pogoj</w:t>
      </w:r>
      <w:r>
        <w:rPr>
          <w:lang w:eastAsia="sl-SI"/>
        </w:rPr>
        <w:t xml:space="preserve">; cenitev nepremičnine, ki je bila predmet prodaje, je bila na dan sklenitve pravnega posla starejša od 12 mesecev; prodajno pogodbo je sklenila 14 dni po objavi namere o sklenitvi neposredne pogodbe; pred sklenitvijo 14 neposrednih pogodb o oddaji stvarnega premoženja v </w:t>
      </w:r>
      <w:r>
        <w:t xml:space="preserve">najem in 5 pogodb o brezplačni uporabi prostora </w:t>
      </w:r>
      <w:r>
        <w:rPr>
          <w:lang w:eastAsia="sl-SI"/>
        </w:rPr>
        <w:t xml:space="preserve">na spletni strani upravljavca ali na drug, krajevno običajen način ali na drugi spletni strani ni objavila namere o oddaji stvarnega premoženja v najem oziroma brezplačno uporabo; </w:t>
      </w:r>
      <w:r>
        <w:t>v 5 primerih oddaje prostorov v najem ni imenovala skrbnika pravnega posla oziroma ga ni določila v pogodbi;</w:t>
      </w:r>
    </w:p>
    <w:p w14:paraId="54BE49A4" w14:textId="77777777" w:rsidR="00F67D40" w:rsidRDefault="00F67D40" w:rsidP="00F67D40">
      <w:pPr>
        <w:pStyle w:val="RSnatevanje"/>
        <w:keepLines w:val="0"/>
        <w:widowControl w:val="0"/>
        <w:numPr>
          <w:ilvl w:val="1"/>
          <w:numId w:val="31"/>
        </w:numPr>
        <w:tabs>
          <w:tab w:val="left" w:pos="708"/>
        </w:tabs>
        <w:spacing w:after="80"/>
        <w:rPr>
          <w:b/>
        </w:rPr>
      </w:pPr>
      <w:r>
        <w:t>s sklenitvijo 4 pogodb in 3 dodatkov k pogodbi ter z izdajo dodatka k naročilnici je prevzela več obveznosti, kot je imela za ta namen zagotovljenih sredstev na proračunskih postavkah ob prevzemu obveznosti; v 2 primerih v Načrt razvojnih programov Občine Grosuplje za obdobje 2022–2025 ni vključila vseh virov financiranja; pri 1 javnem naročilu je izvajalcu plačala stroške investicijskega inženiringa, čeprav je javno naročilo oddala v izvedbo in ne kot storitev izvedbe postopka oddaje javnega naročila; v 1 primeru je obvestilo o spremembi pogodbe o izvedbi javnega naročila na portalu javnih naročil objavila prepozno; v 2 primerih pred sklenitvijo</w:t>
      </w:r>
      <w:r>
        <w:br/>
        <w:t xml:space="preserve">in-house pogodbe ni izkazala, da je izpolnila vse pogoje za sklenitev in-house pogodbe; </w:t>
      </w:r>
      <w:r>
        <w:rPr>
          <w:lang w:eastAsia="sl-SI"/>
        </w:rPr>
        <w:t xml:space="preserve">menično izjavo za odpravo napak v garancijskem roku je od izvajalca prejela prepozno; v 3 primerih je izvedena dela plačala v celoti in ne 90 % vrednosti mesečne situacije; </w:t>
      </w:r>
      <w:r>
        <w:t xml:space="preserve">računom, ki jih je občina </w:t>
      </w:r>
      <w:r>
        <w:lastRenderedPageBreak/>
        <w:t>plačala, niso bile priložene zahtevane priloge;</w:t>
      </w:r>
      <w:r>
        <w:rPr>
          <w:lang w:eastAsia="sl-SI"/>
        </w:rPr>
        <w:t xml:space="preserve"> za podaljšanje pogodbenega roka za izvedbo del z izvajalcem ni podpisala dodatka k pogodbi; v 3 primerih je za dodatna oziroma nepredvidena dela sklenila anekse, ko so bila dela že zaključena; pri plačilu obveznosti iz proračuna ni upoštevala zakonskega plačilnega roka; v 16 primerih pred uvrstitvijo projekta v načrt razvojnih programov ni pripravila dokumenta</w:t>
      </w:r>
      <w:r>
        <w:t xml:space="preserve"> identifikacije investicijskega projekta oziroma poenostavljene investicijske dokumentacije in za 1 projekt ni pripravila investicijskega programa;</w:t>
      </w:r>
    </w:p>
    <w:p w14:paraId="231C072D" w14:textId="77777777" w:rsidR="00F67D40" w:rsidRDefault="00F67D40" w:rsidP="00F67D40">
      <w:pPr>
        <w:pStyle w:val="RSnatevanje"/>
        <w:keepLines w:val="0"/>
        <w:widowControl w:val="0"/>
        <w:numPr>
          <w:ilvl w:val="0"/>
          <w:numId w:val="30"/>
        </w:numPr>
        <w:spacing w:after="80"/>
        <w:rPr>
          <w:b/>
        </w:rPr>
      </w:pPr>
      <w:r>
        <w:t xml:space="preserve">objava javnega razpisa na področju športa za leto 2022 za nekatera področja ni vsebovala navedbe meril; </w:t>
      </w:r>
      <w:r>
        <w:rPr>
          <w:lang w:eastAsia="sl-SI"/>
        </w:rPr>
        <w:t>predsednik in člani komisije niso podpisali izjave o prepovedi interesne povezanosti;</w:t>
      </w:r>
      <w:r>
        <w:t xml:space="preserve"> 1 prejemniku je</w:t>
      </w:r>
      <w:r>
        <w:rPr>
          <w:lang w:eastAsia="sl-SI"/>
        </w:rPr>
        <w:t xml:space="preserve"> izplačala sredstva, preden je bil izveden javni razpis na področju športa in pred sklenitvijo pogodbe o dodelitvi sredstev; komisija je za dodeljena in izplačana sredstva navedla le, v kakšnem znesku se programi ali področja letnega programa športa sofinancirajo, ni pa navedla načina razdelitve sredstev; </w:t>
      </w:r>
      <w:r>
        <w:t xml:space="preserve">1 prejemniku je na podlagi internih nalogov za nakazilo iz proračuna dodelila in izplačala sredstva, ne da bi izvedla javni razpis; razpisna dokumentacija za javni razpis na področju športa, objava javnega poziva za pokroviteljstvo in razpisna dokumentacija niso vsebovale vseh obveznih sestavin; </w:t>
      </w:r>
      <w:r>
        <w:rPr>
          <w:lang w:eastAsia="sl-SI"/>
        </w:rPr>
        <w:t xml:space="preserve">iz dopolnitev vlog na za javni razpis na področju kulture ni razviden datum prejema, občina pa ne razpolaga z dokazili o prejemu, zato ni bilo mogoče preveriti pravočasnosti prejema dopolnitev; od </w:t>
      </w:r>
      <w:r>
        <w:t>1 prejemnika ni pridobila polletnega finančnega poročila; v Pravilniku o sofinanciranju kulturnih dejavnosti v Občini Grosuplje, v objavi javnega razpisa na področju kulture in v razpisni dokumentaciji ni določila načina uporabe meril za razpisno področje kulturnih projektov; v objavi javnega razpisa na področju kulture je določila rok za predložitev vlog, ki je bil krajši od 1 meseca; odločbe oziroma sklepe o dodelitvi sredstev izvajalcem kulturnih programov in projektov v letu 2022 oziroma o dodelitvi sredstev na področju pokroviteljstva ni podpisala pooblaščena oseba; 11 prejemnikom je s sklepom dodelila in izplačala sredstva v skupnem znesku 7.250 EUR, ne da bi prej izvedla javni razpis in ne da bi z njimi sklenila pogodbe o dodelitvi sredstev; 1 prejemniku je izplačala sredstva pred sklenitvijo pogodbe; 9 prejemnikom je s sklepi dodelila in izplačala sredstva v skupnem znesku 2.800 EUR, ne da bi z njimi sklenila pogodbe o dodelitvi sredstev; za financiranje pravnih oseb zasebnega sektorja za opravljanje nalog občinske uprave ni imela podlage v javnofinančnih predpisih; na svetovni splet ni posredovala vseh dokumentov iz javnih razpisov na področju športa in kulture in javnega poziva za pokroviteljstva ter javno dostopnih informacij javnega značaja iz pogodb o sofinanciranju oziroma dodelitvi javnih sredstev brez razpisa, sklenjenih v letu 2022 z 21 prejemniki sredstev;</w:t>
      </w:r>
    </w:p>
    <w:p w14:paraId="054C00B9" w14:textId="77777777" w:rsidR="00F67D40" w:rsidRDefault="00F67D40" w:rsidP="00F67D40">
      <w:pPr>
        <w:pStyle w:val="RSnatevanje"/>
        <w:keepLines w:val="0"/>
        <w:widowControl w:val="0"/>
        <w:numPr>
          <w:ilvl w:val="0"/>
          <w:numId w:val="30"/>
        </w:numPr>
        <w:spacing w:after="80"/>
      </w:pPr>
      <w:r>
        <w:t>ni v celoti izvajala nadzora nad zadolževanjem pravnih oseb javnega sektorja na ravni občine ter v odloku o proračunu občine za leto 2022 ni določila obsega zadolževanja pravnih oseb javnega sektorja na ravni občine;</w:t>
      </w:r>
    </w:p>
    <w:p w14:paraId="4FC47599" w14:textId="77777777" w:rsidR="00F67D40" w:rsidRDefault="00F67D40" w:rsidP="00F67D40">
      <w:pPr>
        <w:pStyle w:val="RSnatevanje"/>
        <w:keepLines w:val="0"/>
        <w:widowControl w:val="0"/>
        <w:numPr>
          <w:ilvl w:val="0"/>
          <w:numId w:val="30"/>
        </w:numPr>
        <w:spacing w:after="80"/>
      </w:pPr>
      <w:r>
        <w:t xml:space="preserve">župan ni imenoval podžupana in tajnika občine; </w:t>
      </w:r>
    </w:p>
    <w:p w14:paraId="3EE057DB" w14:textId="77777777" w:rsidR="00F67D40" w:rsidRDefault="00F67D40" w:rsidP="00F67D40">
      <w:pPr>
        <w:pStyle w:val="RSnatevanje"/>
        <w:keepLines w:val="0"/>
        <w:widowControl w:val="0"/>
        <w:numPr>
          <w:ilvl w:val="0"/>
          <w:numId w:val="30"/>
        </w:numPr>
        <w:spacing w:after="80"/>
      </w:pPr>
      <w:r>
        <w:t xml:space="preserve">izplačala je sredstva na podlagi potnih nalogov, ki ne predstavljajo verodostojne knjigovodske listine; direktorju občinske uprave je izplačala dodatno redno delovno uspešnost v neskladju z Uredbo o plačah direktorjev v javnem sektorju; del plače za redno delovno uspešnost direktorja občinske uprave ni bil določen na podlagi ustreznih meril, del plače za dodatno redno delovno uspešnost direktorja občinske uprave pa je bil določen brez uporabe meril; skupnega obsega sredstev za redno delovno uspešnost za plačo direktorja občinske uprave ni oblikovala in izkazala ločeno; </w:t>
      </w:r>
    </w:p>
    <w:p w14:paraId="3F974E44" w14:textId="77777777" w:rsidR="00F67D40" w:rsidRDefault="00F67D40" w:rsidP="00F67D40">
      <w:pPr>
        <w:pStyle w:val="RSnatevanje"/>
        <w:keepLines w:val="0"/>
        <w:widowControl w:val="0"/>
        <w:numPr>
          <w:ilvl w:val="0"/>
          <w:numId w:val="30"/>
        </w:numPr>
        <w:spacing w:after="80"/>
      </w:pPr>
      <w:r>
        <w:lastRenderedPageBreak/>
        <w:t>ni sprejela podrobnega področnega programa in ukrepov za uresničevanje posebnih pravic pripadnikov romske skupnosti.</w:t>
      </w:r>
    </w:p>
    <w:p w14:paraId="2AA25B26" w14:textId="77777777" w:rsidR="00F67D40" w:rsidRDefault="00F67D40" w:rsidP="00F67D40">
      <w:pPr>
        <w:pStyle w:val="RStekst"/>
        <w:keepLines/>
      </w:pPr>
      <w:r>
        <w:t xml:space="preserve">Računsko sodišče je Občini Grosuplje podalo </w:t>
      </w:r>
      <w:r>
        <w:rPr>
          <w:b/>
        </w:rPr>
        <w:t>priporočila</w:t>
      </w:r>
      <w: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21CC44C3" w14:textId="3595EFFF" w:rsidR="003D1FAE" w:rsidRDefault="003D1FAE" w:rsidP="003D1FAE">
      <w:pPr>
        <w:pStyle w:val="RStekst"/>
      </w:pPr>
    </w:p>
    <w:p w14:paraId="35897DF7" w14:textId="1CB8128C" w:rsidR="008629A2" w:rsidRDefault="008629A2" w:rsidP="008629A2">
      <w:pPr>
        <w:pStyle w:val="RStekst"/>
      </w:pPr>
      <w:r>
        <w:t xml:space="preserve">Ljubljana, </w:t>
      </w:r>
      <w:r w:rsidR="00A92019">
        <w:t xml:space="preserve"> 5. julija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0106CD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F67D40">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D8F6C9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67D4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2"/>
  </w:num>
  <w:num w:numId="3">
    <w:abstractNumId w:val="20"/>
    <w:lvlOverride w:ilvl="0">
      <w:startOverride w:val="1"/>
    </w:lvlOverride>
  </w:num>
  <w:num w:numId="4">
    <w:abstractNumId w:val="24"/>
  </w:num>
  <w:num w:numId="5">
    <w:abstractNumId w:val="4"/>
  </w:num>
  <w:num w:numId="6">
    <w:abstractNumId w:val="17"/>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3"/>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1"/>
  </w:num>
  <w:num w:numId="11">
    <w:abstractNumId w:val="1"/>
  </w:num>
  <w:num w:numId="12">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5"/>
  </w:num>
  <w:num w:numId="14">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10"/>
  </w:num>
  <w:num w:numId="16">
    <w:abstractNumId w:val="18"/>
  </w:num>
  <w:num w:numId="17">
    <w:abstractNumId w:val="14"/>
  </w:num>
  <w:num w:numId="18">
    <w:abstractNumId w:val="23"/>
  </w:num>
  <w:num w:numId="19">
    <w:abstractNumId w:val="2"/>
  </w:num>
  <w:num w:numId="20">
    <w:abstractNumId w:val="7"/>
  </w:num>
  <w:num w:numId="21">
    <w:abstractNumId w:val="3"/>
  </w:num>
  <w:num w:numId="22">
    <w:abstractNumId w:val="25"/>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21"/>
  </w:num>
  <w:num w:numId="29">
    <w:abstractNumId w:val="8"/>
  </w:num>
  <w:num w:numId="30">
    <w:abstractNumId w:val="21"/>
    <w:lvlOverride w:ilvl="0"/>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92019"/>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67D40"/>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uiPriority w:val="7"/>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79582">
      <w:bodyDiv w:val="1"/>
      <w:marLeft w:val="0"/>
      <w:marRight w:val="0"/>
      <w:marTop w:val="0"/>
      <w:marBottom w:val="0"/>
      <w:divBdr>
        <w:top w:val="none" w:sz="0" w:space="0" w:color="auto"/>
        <w:left w:val="none" w:sz="0" w:space="0" w:color="auto"/>
        <w:bottom w:val="none" w:sz="0" w:space="0" w:color="auto"/>
        <w:right w:val="none" w:sz="0" w:space="0" w:color="auto"/>
      </w:divBdr>
    </w:div>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2024-07-05T07:53:00Z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