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93FF4" w14:textId="0CF82A09" w:rsidR="008629A2" w:rsidRPr="00F4569E" w:rsidRDefault="008629A2" w:rsidP="008629A2">
      <w:pPr>
        <w:pStyle w:val="RSGLAVNINASLOV"/>
        <w:rPr>
          <w:spacing w:val="-2"/>
        </w:rPr>
      </w:pPr>
      <w:r w:rsidRPr="009176A9">
        <w:rPr>
          <w:spacing w:val="-2"/>
        </w:rPr>
        <w:t>Povzetek revizijskega poročila</w:t>
      </w:r>
      <w:r w:rsidR="00EF014B">
        <w:rPr>
          <w:spacing w:val="-2"/>
        </w:rPr>
        <w:br/>
      </w:r>
      <w:r w:rsidR="009D1DC8" w:rsidRPr="009D1DC8">
        <w:rPr>
          <w:spacing w:val="-2"/>
        </w:rPr>
        <w:t>Pravilnost dela poslovanja Občine Gorje</w:t>
      </w:r>
    </w:p>
    <w:p w14:paraId="3297F6B1" w14:textId="501A4096" w:rsidR="00FA0DFF" w:rsidRPr="009B4E2A" w:rsidRDefault="00FA0DFF" w:rsidP="00FA0DFF">
      <w:pPr>
        <w:pStyle w:val="RStekst"/>
      </w:pPr>
      <w:r w:rsidRPr="009B4E2A">
        <w:t xml:space="preserve">Računsko sodišče je revidiralo pravilnost dela poslovanja </w:t>
      </w:r>
      <w:r w:rsidRPr="009B4E2A">
        <w:rPr>
          <w:b/>
        </w:rPr>
        <w:t>Občine Gorje</w:t>
      </w:r>
      <w:r w:rsidRPr="009B4E2A">
        <w:t xml:space="preserve"> v letu 2022. Cilj revizije je</w:t>
      </w:r>
      <w:r w:rsidR="007B3CEA">
        <w:t> </w:t>
      </w:r>
      <w:r w:rsidRPr="009B4E2A">
        <w:t xml:space="preserve">bil izrek mnenja o pravilnosti poslovanja Občine Gorje v letu 2022 v delu, ki se nanaša </w:t>
      </w:r>
      <w:r w:rsidRPr="009B4E2A">
        <w:rPr>
          <w:lang w:eastAsia="sl-SI"/>
        </w:rPr>
        <w:t>na pripravo proračuna in zaključnega računa proračuna občine ter izvrševanje proračuna občine</w:t>
      </w:r>
      <w:r w:rsidRPr="009B4E2A">
        <w:t>, prodaje nepremičnega premoženja in oddaje prostorov v najem,</w:t>
      </w:r>
      <w:r w:rsidRPr="009B4E2A">
        <w:rPr>
          <w:lang w:eastAsia="sl-SI"/>
        </w:rPr>
        <w:t xml:space="preserve"> javna naročila pri investicijskih odhodkih,</w:t>
      </w:r>
      <w:r w:rsidRPr="009B4E2A">
        <w:t xml:space="preserve"> tekoče transfere nepridobitnim organizacijam in ustanovam ter zadolževanje.</w:t>
      </w:r>
    </w:p>
    <w:p w14:paraId="0ADFBB13" w14:textId="3C0C8980" w:rsidR="00FA0DFF" w:rsidRPr="009B4E2A" w:rsidRDefault="00FA0DFF" w:rsidP="00FA0DFF">
      <w:pPr>
        <w:pStyle w:val="RStekst"/>
      </w:pPr>
      <w:r w:rsidRPr="009B4E2A">
        <w:t xml:space="preserve">Računsko sodišče je o pravilnosti dela poslovanja Občine Gorje v letu 2022 izreklo </w:t>
      </w:r>
      <w:r w:rsidRPr="00FA0DFF">
        <w:rPr>
          <w:rStyle w:val="RStekstBoldbarva"/>
          <w:color w:val="auto"/>
        </w:rPr>
        <w:t>mnenje</w:t>
      </w:r>
      <w:r w:rsidR="007B3CEA">
        <w:rPr>
          <w:rStyle w:val="RStekstBoldbarva"/>
          <w:color w:val="auto"/>
        </w:rPr>
        <w:t> </w:t>
      </w:r>
      <w:r w:rsidRPr="00FA0DFF">
        <w:rPr>
          <w:rStyle w:val="RStekstBoldbarva"/>
          <w:color w:val="auto"/>
        </w:rPr>
        <w:t>s</w:t>
      </w:r>
      <w:r w:rsidR="009D1DC8">
        <w:rPr>
          <w:rStyle w:val="RStekstBoldbarva"/>
          <w:color w:val="auto"/>
        </w:rPr>
        <w:t> </w:t>
      </w:r>
      <w:r w:rsidRPr="00FA0DFF">
        <w:rPr>
          <w:rStyle w:val="RStekstBoldbarva"/>
          <w:color w:val="auto"/>
        </w:rPr>
        <w:t>pridržkom,</w:t>
      </w:r>
      <w:r w:rsidRPr="009B4E2A">
        <w:t xml:space="preserve"> ker občina ni poslovala v skladu s predpisi ter pogodbenimi določili v naslednjih primerih:</w:t>
      </w:r>
    </w:p>
    <w:p w14:paraId="44186D8E" w14:textId="77777777" w:rsidR="00FA0DFF" w:rsidRPr="009B4E2A" w:rsidRDefault="00FA0DFF" w:rsidP="00FA0DFF">
      <w:pPr>
        <w:pStyle w:val="RSnatevanje"/>
        <w:keepLines w:val="0"/>
        <w:numPr>
          <w:ilvl w:val="0"/>
          <w:numId w:val="29"/>
        </w:numPr>
        <w:spacing w:after="80"/>
      </w:pPr>
      <w:r w:rsidRPr="009B4E2A">
        <w:t xml:space="preserve">v splošnem in posebnem delu proračuna za leto 2022 ni prikazala ocene realizacije prejemkov in izdatkov za leto 2021; župan pri sklicu seje občinskega sveta na dnevni red ni uvrstil obravnave Polletnega poročila o izvrševanju proračuna Občine Gorje za leto 2022; </w:t>
      </w:r>
      <w:r w:rsidRPr="009B4E2A">
        <w:rPr>
          <w:bCs/>
        </w:rPr>
        <w:t xml:space="preserve">Polletno poročilo o izvrševanju proračuna Občine Gorje za leto 2022 </w:t>
      </w:r>
      <w:r w:rsidRPr="009B4E2A">
        <w:t xml:space="preserve">ni bilo popolno; </w:t>
      </w:r>
    </w:p>
    <w:p w14:paraId="782FB1C5" w14:textId="77777777" w:rsidR="00FA0DFF" w:rsidRPr="009B4E2A" w:rsidRDefault="00FA0DFF" w:rsidP="00FA0DFF">
      <w:pPr>
        <w:pStyle w:val="RSnatevanje"/>
        <w:keepLines w:val="0"/>
        <w:numPr>
          <w:ilvl w:val="0"/>
          <w:numId w:val="29"/>
        </w:numPr>
        <w:spacing w:after="80"/>
      </w:pPr>
      <w:r w:rsidRPr="009B4E2A">
        <w:t>načrt razpolaganja z nepremičnim premoženjem ni bil popoln; v 4 primerih pred sklenitvijo neposredne pogodbe za prodajo nepremičnin oziroma pred sklenitvijo pogodbe o brezplačni uporabi ni objavila namere o sklenitvi neposredne pogodbe oziroma namere o oddaji stvarnega premoženja v brezplačno uporabo; 4 uporabnike je oprostila plačila uporabnine; ni podpisala pogodb o oddaji šolskih prostorov v občasno uporabo (podpisala jih je ravnateljica Osnovne šole Gorje);</w:t>
      </w:r>
      <w:r w:rsidRPr="009B4E2A">
        <w:rPr>
          <w:bCs/>
        </w:rPr>
        <w:t xml:space="preserve"> </w:t>
      </w:r>
      <w:r w:rsidRPr="009B4E2A">
        <w:t>ni sprejela cenika za določitev uporabnine šolskih prostorov (sprejel ga je svet zavoda Osnovne šole Gorje); ni zagotovila popolnega in pravočasnega pobiranja prejemkov proračuna iz svoje pristojnosti ter izločanja teh prejemkov v proračun; sklenila je neposredno pogodbo o</w:t>
      </w:r>
      <w:r>
        <w:t> </w:t>
      </w:r>
      <w:r w:rsidRPr="009B4E2A">
        <w:t>brezplačni uporabi prostora za nedoločen čas; v pogodbi o brezplačni uporabi ni določila obveznosti uporabnika, da krije vse predpisane stroške; z uporabniki prostorov Gorjanskega doma ni sklenila pogodb o najemu oziroma uporabi prostorov;</w:t>
      </w:r>
    </w:p>
    <w:p w14:paraId="58C3B82B" w14:textId="77777777" w:rsidR="00FA0DFF" w:rsidRPr="009B4E2A" w:rsidRDefault="00FA0DFF" w:rsidP="00FA0DFF">
      <w:pPr>
        <w:pStyle w:val="RSnatevanje"/>
        <w:keepLines w:val="0"/>
        <w:numPr>
          <w:ilvl w:val="0"/>
          <w:numId w:val="29"/>
        </w:numPr>
        <w:spacing w:after="80"/>
      </w:pPr>
      <w:r w:rsidRPr="009B4E2A">
        <w:t>v 1 primeru je v razpisni dokumentaciji navedla določilo, ki omejuje konkurenco med ponudniki; v 4 primerih pred uvrstitvijo projekta v načrt razvojnih programov ni pripravila dokumenta identifikacije investicijskega projekta oziroma poenostavljene investicijske dokumentacije; v</w:t>
      </w:r>
      <w:r>
        <w:t> </w:t>
      </w:r>
      <w:r w:rsidRPr="009B4E2A">
        <w:t>2</w:t>
      </w:r>
      <w:r>
        <w:t> </w:t>
      </w:r>
      <w:r w:rsidRPr="009B4E2A">
        <w:t>primerih pri plačilu obveznosti iz proračuna ni upoštevala zakonskega plačilnega roka;</w:t>
      </w:r>
    </w:p>
    <w:p w14:paraId="677D2F26" w14:textId="77777777" w:rsidR="00FA0DFF" w:rsidRPr="009B4E2A" w:rsidRDefault="00FA0DFF" w:rsidP="00FA0DFF">
      <w:pPr>
        <w:pStyle w:val="RSnatevanje"/>
        <w:keepLines w:val="0"/>
        <w:numPr>
          <w:ilvl w:val="0"/>
          <w:numId w:val="29"/>
        </w:numPr>
        <w:spacing w:after="80"/>
      </w:pPr>
      <w:r w:rsidRPr="009B4E2A">
        <w:rPr>
          <w:lang w:eastAsia="sl-SI"/>
        </w:rPr>
        <w:t>odločbi o dodelitvi sredstev na področju obnove kulturnih spomenikov v letu 2022 je izdal direktor občinske uprave, ne da bi ga župan za to pooblastil; predsednica komisije za izbor izvajalcev na področju prireditev je bila s prejemnikoma sredstev interesno povezana; objavi javnega razpisa in razpisni dokumentaciji na področju prireditev in na področju sofinanciranja programov za mlade niso vsebovale vseh obveznih sestavin; komisija za izbor izvajalcev prireditev in izvajalcev programov za mlade ni vodila zapisnika o odpiranju vlog in zapisnika o</w:t>
      </w:r>
      <w:r>
        <w:rPr>
          <w:lang w:eastAsia="sl-SI"/>
        </w:rPr>
        <w:t> </w:t>
      </w:r>
      <w:r w:rsidRPr="009B4E2A">
        <w:rPr>
          <w:lang w:eastAsia="sl-SI"/>
        </w:rPr>
        <w:t xml:space="preserve">strokovnem pregledu in ocenjevanju vlog; </w:t>
      </w:r>
      <w:r w:rsidRPr="009B4E2A">
        <w:rPr>
          <w:bCs/>
          <w:lang w:eastAsia="sl-SI"/>
        </w:rPr>
        <w:t xml:space="preserve">na svetovni splet ni posredovala dokumentacije </w:t>
      </w:r>
      <w:r w:rsidRPr="009B4E2A">
        <w:rPr>
          <w:bCs/>
          <w:lang w:eastAsia="sl-SI"/>
        </w:rPr>
        <w:lastRenderedPageBreak/>
        <w:t>o</w:t>
      </w:r>
      <w:r>
        <w:rPr>
          <w:bCs/>
          <w:lang w:eastAsia="sl-SI"/>
        </w:rPr>
        <w:t> </w:t>
      </w:r>
      <w:r w:rsidRPr="009B4E2A">
        <w:rPr>
          <w:bCs/>
          <w:lang w:eastAsia="sl-SI"/>
        </w:rPr>
        <w:t xml:space="preserve">članih komisije za izvedbo postopka javnega razpisa, o prejemnikih in višini prejetih sredstev ter zaključnega poročila ali povzetka o poteku in rezultatih porabljenih sredstev po javnih razpisih na področjih obnove kulturnih spomenikov, prireditev in programov za mlade, pri </w:t>
      </w:r>
      <w:r w:rsidRPr="009B4E2A">
        <w:rPr>
          <w:lang w:eastAsia="sl-SI"/>
        </w:rPr>
        <w:t>Javnem razpisu za izbiro in sofinanciranje programa ali področja letnega programa športa v</w:t>
      </w:r>
      <w:r>
        <w:rPr>
          <w:lang w:eastAsia="sl-SI"/>
        </w:rPr>
        <w:t> </w:t>
      </w:r>
      <w:r w:rsidRPr="009B4E2A">
        <w:rPr>
          <w:lang w:eastAsia="sl-SI"/>
        </w:rPr>
        <w:t xml:space="preserve">Občini Gorje za leto 2022 </w:t>
      </w:r>
      <w:r w:rsidRPr="009B4E2A">
        <w:rPr>
          <w:bCs/>
          <w:lang w:eastAsia="sl-SI"/>
        </w:rPr>
        <w:t>pa zaključnega poročila ali povzetka o poteku in rezultatih porabljenih sredstev;</w:t>
      </w:r>
    </w:p>
    <w:p w14:paraId="4886A35D" w14:textId="77777777" w:rsidR="00FA0DFF" w:rsidRPr="009B4E2A" w:rsidRDefault="00FA0DFF" w:rsidP="00FA0DFF">
      <w:pPr>
        <w:pStyle w:val="RSnatevanje"/>
        <w:keepLines w:val="0"/>
        <w:numPr>
          <w:ilvl w:val="0"/>
          <w:numId w:val="29"/>
        </w:numPr>
        <w:spacing w:after="80"/>
      </w:pPr>
      <w:r w:rsidRPr="009B4E2A">
        <w:t>Prostovoljnemu gasilskemu društvu Podhom je zagotovila sredstva v znesku 42.401 EUR za odplačilo obveznosti iz pogodbe o finančnem leasingu, kar pomeni, da gre po vsebini za bistveno</w:t>
      </w:r>
      <w:r>
        <w:t xml:space="preserve"> </w:t>
      </w:r>
      <w:r w:rsidRPr="009B4E2A">
        <w:t>enak učinek kot zadolžitev občine, ne da bi občina pridobila soglasje Ministrstva za finance; ni</w:t>
      </w:r>
      <w:r>
        <w:t> </w:t>
      </w:r>
      <w:r w:rsidRPr="009B4E2A">
        <w:t>v</w:t>
      </w:r>
      <w:r>
        <w:t> </w:t>
      </w:r>
      <w:r w:rsidRPr="009B4E2A">
        <w:t>celoti izvajala nadzora nad zadolževanjem pravnih oseb javnega sektorja na ravni občine; od</w:t>
      </w:r>
      <w:r>
        <w:t> </w:t>
      </w:r>
      <w:r w:rsidRPr="009B4E2A">
        <w:t>javnega zavoda, katerega ustanoviteljica je, ni pridobila podatkov o stanju zadolženosti na</w:t>
      </w:r>
      <w:r>
        <w:t> </w:t>
      </w:r>
      <w:r w:rsidRPr="009B4E2A">
        <w:t>dan 31. 12. 2022.</w:t>
      </w:r>
    </w:p>
    <w:p w14:paraId="70360977" w14:textId="77777777" w:rsidR="00FA0DFF" w:rsidRPr="00216FDB" w:rsidRDefault="00FA0DFF" w:rsidP="00FA0DFF">
      <w:pPr>
        <w:pStyle w:val="RStekst"/>
      </w:pPr>
      <w:r w:rsidRPr="009B4E2A">
        <w:t xml:space="preserve">Računsko sodišče je Občini Gorje podalo </w:t>
      </w:r>
      <w:r w:rsidRPr="009B4E2A">
        <w:rPr>
          <w:b/>
        </w:rPr>
        <w:t>priporočila</w:t>
      </w:r>
      <w:r w:rsidRPr="009B4E2A">
        <w:t xml:space="preserve"> 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424E38D" w14:textId="77777777" w:rsidR="00C572B5" w:rsidRDefault="00C572B5" w:rsidP="003D1FAE">
      <w:pPr>
        <w:pStyle w:val="RStekst"/>
      </w:pPr>
    </w:p>
    <w:p w14:paraId="35897DF7" w14:textId="324B17C8" w:rsidR="008629A2" w:rsidRDefault="008629A2" w:rsidP="008629A2">
      <w:pPr>
        <w:pStyle w:val="RStekst"/>
      </w:pPr>
      <w:r>
        <w:t>Ljubljana,</w:t>
      </w:r>
      <w:r w:rsidR="00EF014B">
        <w:t xml:space="preserve"> </w:t>
      </w:r>
      <w:r w:rsidR="00046F56">
        <w:t>4</w:t>
      </w:r>
      <w:r w:rsidR="00B7245D">
        <w:t xml:space="preserve">. </w:t>
      </w:r>
      <w:r w:rsidR="00046F56">
        <w:t>novembra</w:t>
      </w:r>
      <w:r w:rsidR="00EF014B">
        <w:t xml:space="preserve"> 2024</w:t>
      </w:r>
      <w:r>
        <w:t xml:space="preserve"> </w:t>
      </w:r>
    </w:p>
    <w:sectPr w:rsidR="008629A2" w:rsidSect="000A0B85">
      <w:headerReference w:type="default" r:id="rId10"/>
      <w:footerReference w:type="even" r:id="rId11"/>
      <w:footerReference w:type="default" r:id="rId12"/>
      <w:headerReference w:type="first" r:id="rId13"/>
      <w:footerReference w:type="first" r:id="rId14"/>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3EC5C" w14:textId="77777777" w:rsidR="006835EC" w:rsidRDefault="006835EC">
      <w:r>
        <w:separator/>
      </w:r>
    </w:p>
    <w:p w14:paraId="5CEF5DC3" w14:textId="77777777" w:rsidR="006835EC" w:rsidRDefault="006835EC"/>
    <w:p w14:paraId="65ECE199" w14:textId="77777777" w:rsidR="006835EC" w:rsidRDefault="006835EC"/>
  </w:endnote>
  <w:endnote w:type="continuationSeparator" w:id="0">
    <w:p w14:paraId="0F892BDB" w14:textId="77777777" w:rsidR="006835EC" w:rsidRDefault="006835EC">
      <w:r>
        <w:continuationSeparator/>
      </w:r>
    </w:p>
    <w:p w14:paraId="1C643605" w14:textId="77777777" w:rsidR="006835EC" w:rsidRDefault="006835EC"/>
    <w:p w14:paraId="4B791FE7" w14:textId="77777777" w:rsidR="006835EC" w:rsidRDefault="006835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364955130"/>
      <w:docPartObj>
        <w:docPartGallery w:val="Page Numbers (Bottom of Page)"/>
        <w:docPartUnique/>
      </w:docPartObj>
    </w:sdtPr>
    <w:sdtEndPr>
      <w:rPr>
        <w:rStyle w:val="tevilkastrani"/>
        <w:szCs w:val="17"/>
      </w:rPr>
    </w:sdtEndPr>
    <w:sdtContent>
      <w:p w14:paraId="3EC5A8E8" w14:textId="266AA40C"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B7245D">
          <w:rPr>
            <w:rStyle w:val="tevilkastrani"/>
            <w:noProof/>
          </w:rPr>
          <w:t>2</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tevilkastrani"/>
      </w:rPr>
      <w:id w:val="-2111191425"/>
      <w:docPartObj>
        <w:docPartGallery w:val="Page Numbers (Bottom of Page)"/>
        <w:docPartUnique/>
      </w:docPartObj>
    </w:sdtPr>
    <w:sdtEndPr>
      <w:rPr>
        <w:rStyle w:val="Privzetapisavaodstavka"/>
      </w:rPr>
    </w:sdtEndPr>
    <w:sdtContent>
      <w:p w14:paraId="24C84D14" w14:textId="79A7875A"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B7245D">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C1CDAE" w14:textId="77777777" w:rsidR="006835EC" w:rsidRPr="00935F2E" w:rsidRDefault="006835EC">
      <w:pPr>
        <w:rPr>
          <w:color w:val="7F7F7F" w:themeColor="text1" w:themeTint="80"/>
          <w:sz w:val="60"/>
          <w:szCs w:val="60"/>
        </w:rPr>
      </w:pPr>
      <w:r w:rsidRPr="00935F2E">
        <w:rPr>
          <w:color w:val="7F7F7F" w:themeColor="text1" w:themeTint="80"/>
          <w:sz w:val="60"/>
          <w:szCs w:val="60"/>
        </w:rPr>
        <w:separator/>
      </w:r>
    </w:p>
  </w:footnote>
  <w:footnote w:type="continuationSeparator" w:id="0">
    <w:p w14:paraId="1F2E3804" w14:textId="77777777" w:rsidR="006835EC" w:rsidRDefault="006835EC">
      <w:r>
        <w:continuationSeparator/>
      </w:r>
    </w:p>
    <w:p w14:paraId="4B27A7ED" w14:textId="77777777" w:rsidR="006835EC" w:rsidRDefault="006835EC"/>
    <w:p w14:paraId="4B620AF6" w14:textId="77777777" w:rsidR="006835EC" w:rsidRDefault="006835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E0A758" w14:textId="1684F230" w:rsidR="00530CDC" w:rsidRPr="00253177" w:rsidRDefault="00530CDC" w:rsidP="009251E1">
    <w:pPr>
      <w:tabs>
        <w:tab w:val="left" w:pos="3969"/>
      </w:tabs>
      <w:spacing w:line="240" w:lineRule="exac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789CB" w14:textId="77777777" w:rsidR="0060514B" w:rsidRPr="00953FA7" w:rsidRDefault="0060514B" w:rsidP="0060514B">
    <w:pPr>
      <w:tabs>
        <w:tab w:val="left" w:pos="3969"/>
      </w:tabs>
      <w:spacing w:line="240" w:lineRule="exact"/>
      <w:ind w:left="1" w:firstLine="1"/>
      <w:rPr>
        <w:sz w:val="16"/>
        <w:szCs w:val="16"/>
      </w:rPr>
    </w:pPr>
    <w:bookmarkStart w:id="0" w:name="_Hlk172702987"/>
    <w:bookmarkStart w:id="1" w:name="_Hlk172702988"/>
    <w:r>
      <w:rPr>
        <w:noProof/>
        <w:sz w:val="16"/>
        <w:szCs w:val="16"/>
        <w:lang w:eastAsia="sl-SI"/>
      </w:rPr>
      <w:drawing>
        <wp:anchor distT="0" distB="0" distL="114300" distR="114300" simplePos="0" relativeHeight="251659264" behindDoc="0" locked="0" layoutInCell="1" allowOverlap="1" wp14:anchorId="281C4444" wp14:editId="5F739F38">
          <wp:simplePos x="0" y="0"/>
          <wp:positionH relativeFrom="page">
            <wp:posOffset>558165</wp:posOffset>
          </wp:positionH>
          <wp:positionV relativeFrom="topMargin">
            <wp:posOffset>615950</wp:posOffset>
          </wp:positionV>
          <wp:extent cx="3765600" cy="388800"/>
          <wp:effectExtent l="0" t="0" r="6350" b="0"/>
          <wp:wrapTopAndBottom/>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rs 30 glava word-sl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65600" cy="388800"/>
                  </a:xfrm>
                  <a:prstGeom prst="rect">
                    <a:avLst/>
                  </a:prstGeom>
                </pic:spPr>
              </pic:pic>
            </a:graphicData>
          </a:graphic>
          <wp14:sizeRelH relativeFrom="margin">
            <wp14:pctWidth>0</wp14:pctWidth>
          </wp14:sizeRelH>
          <wp14:sizeRelV relativeFrom="margin">
            <wp14:pctHeight>0</wp14:pctHeight>
          </wp14:sizeRelV>
        </wp:anchor>
      </w:drawing>
    </w:r>
    <w:r w:rsidRPr="00953FA7">
      <w:rPr>
        <w:sz w:val="16"/>
        <w:szCs w:val="16"/>
      </w:rPr>
      <w:t xml:space="preserve">Računsko sodišče Republike Slovenije </w:t>
    </w:r>
    <w:r w:rsidRPr="00953FA7">
      <w:rPr>
        <w:sz w:val="16"/>
        <w:szCs w:val="16"/>
      </w:rPr>
      <w:tab/>
      <w:t>T: 01 478 58 00</w:t>
    </w:r>
    <w:r w:rsidRPr="00953FA7">
      <w:rPr>
        <w:sz w:val="16"/>
        <w:szCs w:val="16"/>
      </w:rPr>
      <w:br/>
      <w:t>Slovenska cesta 50, 1000 Ljubljana</w:t>
    </w:r>
    <w:r w:rsidRPr="00953FA7">
      <w:rPr>
        <w:sz w:val="16"/>
        <w:szCs w:val="16"/>
      </w:rPr>
      <w:tab/>
    </w:r>
    <w:r w:rsidRPr="00953FA7">
      <w:rPr>
        <w:sz w:val="16"/>
        <w:szCs w:val="16"/>
      </w:rPr>
      <w:tab/>
      <w:t>E: sloaud@rs-rs.si</w:t>
    </w:r>
  </w:p>
  <w:p w14:paraId="3DCE22DD" w14:textId="77777777" w:rsidR="0060514B" w:rsidRPr="00284348" w:rsidRDefault="0060514B" w:rsidP="0060514B">
    <w:pPr>
      <w:tabs>
        <w:tab w:val="left" w:pos="3969"/>
      </w:tabs>
      <w:spacing w:line="240" w:lineRule="exact"/>
      <w:ind w:left="1" w:firstLine="1"/>
      <w:rPr>
        <w:sz w:val="16"/>
        <w:szCs w:val="16"/>
      </w:rPr>
    </w:pPr>
    <w:r w:rsidRPr="00953FA7">
      <w:rPr>
        <w:sz w:val="16"/>
        <w:szCs w:val="16"/>
      </w:rPr>
      <w:tab/>
      <w:t>www.rs-rs.si</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9961564"/>
    <w:multiLevelType w:val="multilevel"/>
    <w:tmpl w:val="40C05150"/>
    <w:lvl w:ilvl="0">
      <w:start w:val="1"/>
      <w:numFmt w:val="lowerLetter"/>
      <w:lvlText w:val="%1)"/>
      <w:lvlJc w:val="left"/>
      <w:pPr>
        <w:ind w:left="398" w:hanging="397"/>
      </w:pPr>
      <w:rPr>
        <w:rFonts w:hint="default"/>
      </w:rPr>
    </w:lvl>
    <w:lvl w:ilvl="1">
      <w:start w:val="1"/>
      <w:numFmt w:val="bullet"/>
      <w:lvlText w:val=""/>
      <w:lvlJc w:val="left"/>
      <w:pPr>
        <w:ind w:left="398" w:hanging="397"/>
      </w:pPr>
      <w:rPr>
        <w:rFonts w:ascii="Symbol" w:hAnsi="Symbol" w:hint="default"/>
        <w:b w:val="0"/>
        <w:i w:val="0"/>
        <w:color w:val="auto"/>
      </w:rPr>
    </w:lvl>
    <w:lvl w:ilvl="2">
      <w:start w:val="1"/>
      <w:numFmt w:val="bullet"/>
      <w:lvlText w:val=""/>
      <w:lvlJc w:val="left"/>
      <w:pPr>
        <w:tabs>
          <w:tab w:val="num" w:pos="795"/>
        </w:tabs>
        <w:ind w:left="795" w:hanging="397"/>
      </w:pPr>
      <w:rPr>
        <w:rFonts w:ascii="Symbol" w:hAnsi="Symbol" w:hint="default"/>
        <w:b w:val="0"/>
        <w:i w:val="0"/>
        <w:color w:val="auto"/>
      </w:rPr>
    </w:lvl>
    <w:lvl w:ilvl="3">
      <w:start w:val="1"/>
      <w:numFmt w:val="decimal"/>
      <w:lvlText w:val="%4."/>
      <w:lvlJc w:val="left"/>
      <w:pPr>
        <w:ind w:left="2881" w:hanging="360"/>
      </w:pPr>
      <w:rPr>
        <w:rFonts w:hint="default"/>
      </w:rPr>
    </w:lvl>
    <w:lvl w:ilvl="4">
      <w:start w:val="1"/>
      <w:numFmt w:val="lowerLetter"/>
      <w:lvlText w:val="%5."/>
      <w:lvlJc w:val="left"/>
      <w:pPr>
        <w:ind w:left="3601" w:hanging="360"/>
      </w:pPr>
      <w:rPr>
        <w:rFonts w:hint="default"/>
      </w:rPr>
    </w:lvl>
    <w:lvl w:ilvl="5">
      <w:start w:val="1"/>
      <w:numFmt w:val="lowerRoman"/>
      <w:lvlText w:val="%6."/>
      <w:lvlJc w:val="right"/>
      <w:pPr>
        <w:ind w:left="4321" w:hanging="180"/>
      </w:pPr>
      <w:rPr>
        <w:rFonts w:hint="default"/>
      </w:rPr>
    </w:lvl>
    <w:lvl w:ilvl="6">
      <w:start w:val="1"/>
      <w:numFmt w:val="decimal"/>
      <w:lvlText w:val="%7."/>
      <w:lvlJc w:val="left"/>
      <w:pPr>
        <w:ind w:left="5041" w:hanging="360"/>
      </w:pPr>
      <w:rPr>
        <w:rFonts w:hint="default"/>
      </w:rPr>
    </w:lvl>
    <w:lvl w:ilvl="7">
      <w:start w:val="1"/>
      <w:numFmt w:val="lowerLetter"/>
      <w:lvlText w:val="%8."/>
      <w:lvlJc w:val="left"/>
      <w:pPr>
        <w:ind w:left="5761" w:hanging="360"/>
      </w:pPr>
      <w:rPr>
        <w:rFonts w:hint="default"/>
      </w:rPr>
    </w:lvl>
    <w:lvl w:ilvl="8">
      <w:start w:val="1"/>
      <w:numFmt w:val="lowerRoman"/>
      <w:lvlText w:val="%9."/>
      <w:lvlJc w:val="right"/>
      <w:pPr>
        <w:ind w:left="6481" w:hanging="180"/>
      </w:pPr>
      <w:rPr>
        <w:rFonts w:hint="default"/>
      </w:rPr>
    </w:lvl>
  </w:abstractNum>
  <w:abstractNum w:abstractNumId="9"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10"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1"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3"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20"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1" w15:restartNumberingAfterBreak="0">
    <w:nsid w:val="65FD69A9"/>
    <w:multiLevelType w:val="multilevel"/>
    <w:tmpl w:val="10A4B764"/>
    <w:lvl w:ilvl="0">
      <w:start w:val="1"/>
      <w:numFmt w:val="bullet"/>
      <w:lvlText w:val=""/>
      <w:lvlJc w:val="left"/>
      <w:pPr>
        <w:tabs>
          <w:tab w:val="num" w:pos="397"/>
        </w:tabs>
        <w:ind w:left="397" w:hanging="397"/>
      </w:pPr>
      <w:rPr>
        <w:rFonts w:ascii="Symbol" w:hAnsi="Symbol" w:hint="default"/>
        <w:caps w:val="0"/>
        <w:strike w:val="0"/>
        <w:dstrike w:val="0"/>
        <w:vanish w:val="0"/>
        <w:color w:val="auto"/>
        <w:sz w:val="20"/>
        <w:vertAlign w:val="baseline"/>
      </w:rPr>
    </w:lvl>
    <w:lvl w:ilvl="1">
      <w:start w:val="1"/>
      <w:numFmt w:val="bullet"/>
      <w:lvlText w:val="–"/>
      <w:lvlJc w:val="left"/>
      <w:pPr>
        <w:tabs>
          <w:tab w:val="num" w:pos="794"/>
        </w:tabs>
        <w:ind w:left="794" w:hanging="397"/>
      </w:pPr>
      <w:rPr>
        <w:rFonts w:ascii="Cambria" w:hAnsi="Cambria" w:hint="default"/>
        <w:caps w:val="0"/>
        <w:strike w:val="0"/>
        <w:dstrike w:val="0"/>
        <w:vanish w:val="0"/>
        <w:color w:val="auto"/>
        <w:sz w:val="18"/>
        <w:szCs w:val="18"/>
        <w:vertAlign w:val="baseline"/>
      </w:rPr>
    </w:lvl>
    <w:lvl w:ilvl="2">
      <w:start w:val="1"/>
      <w:numFmt w:val="bullet"/>
      <w:lvlText w:val=""/>
      <w:lvlJc w:val="left"/>
      <w:pPr>
        <w:tabs>
          <w:tab w:val="num" w:pos="1191"/>
        </w:tabs>
        <w:ind w:left="1191" w:hanging="397"/>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3"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4"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5"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16cid:durableId="1638800238">
    <w:abstractNumId w:val="19"/>
  </w:num>
  <w:num w:numId="2" w16cid:durableId="262109307">
    <w:abstractNumId w:val="12"/>
  </w:num>
  <w:num w:numId="3" w16cid:durableId="605579111">
    <w:abstractNumId w:val="20"/>
    <w:lvlOverride w:ilvl="0">
      <w:startOverride w:val="1"/>
    </w:lvlOverride>
  </w:num>
  <w:num w:numId="4" w16cid:durableId="956525281">
    <w:abstractNumId w:val="24"/>
  </w:num>
  <w:num w:numId="5" w16cid:durableId="454568549">
    <w:abstractNumId w:val="4"/>
  </w:num>
  <w:num w:numId="6" w16cid:durableId="1365322661">
    <w:abstractNumId w:val="17"/>
  </w:num>
  <w:num w:numId="7" w16cid:durableId="1601638690">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16cid:durableId="592053632">
    <w:abstractNumId w:val="13"/>
  </w:num>
  <w:num w:numId="9" w16cid:durableId="2035880489">
    <w:abstractNumId w:val="20"/>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16cid:durableId="264315907">
    <w:abstractNumId w:val="11"/>
  </w:num>
  <w:num w:numId="11" w16cid:durableId="1190338090">
    <w:abstractNumId w:val="1"/>
  </w:num>
  <w:num w:numId="12" w16cid:durableId="32661581">
    <w:abstractNumId w:val="22"/>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16cid:durableId="1668434812">
    <w:abstractNumId w:val="15"/>
  </w:num>
  <w:num w:numId="14" w16cid:durableId="2098476533">
    <w:abstractNumId w:val="9"/>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16cid:durableId="1231388344">
    <w:abstractNumId w:val="10"/>
  </w:num>
  <w:num w:numId="16" w16cid:durableId="1801533054">
    <w:abstractNumId w:val="18"/>
  </w:num>
  <w:num w:numId="17" w16cid:durableId="827283024">
    <w:abstractNumId w:val="14"/>
  </w:num>
  <w:num w:numId="18" w16cid:durableId="1558781683">
    <w:abstractNumId w:val="23"/>
  </w:num>
  <w:num w:numId="19" w16cid:durableId="99565621">
    <w:abstractNumId w:val="2"/>
  </w:num>
  <w:num w:numId="20" w16cid:durableId="1828014570">
    <w:abstractNumId w:val="7"/>
  </w:num>
  <w:num w:numId="21" w16cid:durableId="882787779">
    <w:abstractNumId w:val="3"/>
  </w:num>
  <w:num w:numId="22" w16cid:durableId="915169160">
    <w:abstractNumId w:val="25"/>
  </w:num>
  <w:num w:numId="23" w16cid:durableId="1471090627">
    <w:abstractNumId w:val="6"/>
  </w:num>
  <w:num w:numId="24" w16cid:durableId="2048212339">
    <w:abstractNumId w:val="5"/>
  </w:num>
  <w:num w:numId="25" w16cid:durableId="15473073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7427314">
    <w:abstractNumId w:val="0"/>
  </w:num>
  <w:num w:numId="27" w16cid:durableId="1885099324">
    <w:abstractNumId w:val="16"/>
  </w:num>
  <w:num w:numId="28" w16cid:durableId="1037463345">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29" w16cid:durableId="1848402424">
    <w:abstractNumId w:val="21"/>
  </w:num>
  <w:num w:numId="30" w16cid:durableId="12435324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mirrorMargins/>
  <w:hideSpellingError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4510"/>
    <w:rsid w:val="00005B9B"/>
    <w:rsid w:val="00014747"/>
    <w:rsid w:val="0002652C"/>
    <w:rsid w:val="000364C4"/>
    <w:rsid w:val="00046F56"/>
    <w:rsid w:val="000562C9"/>
    <w:rsid w:val="00057F70"/>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E31A7"/>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8757A"/>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0514B"/>
    <w:rsid w:val="00624347"/>
    <w:rsid w:val="00636A48"/>
    <w:rsid w:val="00652630"/>
    <w:rsid w:val="00670A89"/>
    <w:rsid w:val="006729A6"/>
    <w:rsid w:val="006768E1"/>
    <w:rsid w:val="006835EC"/>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B3CEA"/>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D1DC8"/>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245D"/>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65C77"/>
    <w:rsid w:val="00C7520A"/>
    <w:rsid w:val="00C941E5"/>
    <w:rsid w:val="00CA4E70"/>
    <w:rsid w:val="00CA4EAF"/>
    <w:rsid w:val="00CA7704"/>
    <w:rsid w:val="00D05FB5"/>
    <w:rsid w:val="00D32146"/>
    <w:rsid w:val="00D40E6D"/>
    <w:rsid w:val="00D41BCF"/>
    <w:rsid w:val="00D4218B"/>
    <w:rsid w:val="00D4563E"/>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014B"/>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A0DFF"/>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uiPriority w:val="1"/>
    <w:qFormat/>
    <w:rsid w:val="00C64EFF"/>
    <w:pPr>
      <w:keepLines/>
      <w:numPr>
        <w:numId w:val="8"/>
      </w:numPr>
      <w:spacing w:before="0" w:after="40"/>
    </w:pPr>
    <w:rPr>
      <w:bCs w:val="0"/>
    </w:rPr>
  </w:style>
  <w:style w:type="paragraph" w:customStyle="1" w:styleId="RSnatevanje2">
    <w:name w:val="RS naštevanje 2"/>
    <w:basedOn w:val="RSnatevanje"/>
    <w:link w:val="RSnatevanje2Znak"/>
    <w:uiPriority w:val="1"/>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uiPriority w:val="3"/>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uiPriority w:val="1"/>
    <w:rsid w:val="00C64EFF"/>
    <w:rPr>
      <w:rFonts w:asciiTheme="minorHAnsi" w:hAnsiTheme="minorHAnsi"/>
      <w:lang w:eastAsia="en-US"/>
    </w:rPr>
  </w:style>
  <w:style w:type="paragraph" w:customStyle="1" w:styleId="RSnatevanje3">
    <w:name w:val="RS naštevanje 3"/>
    <w:basedOn w:val="RSnatevanje2"/>
    <w:uiPriority w:val="1"/>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49"/>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66D0F9F66381045855366F2B33946E7" ma:contentTypeVersion="12" ma:contentTypeDescription="Create a new document." ma:contentTypeScope="" ma:versionID="fb1dda9885748ce5e2c9ceea73d9032f">
  <xsd:schema xmlns:xsd="http://www.w3.org/2001/XMLSchema" xmlns:xs="http://www.w3.org/2001/XMLSchema" xmlns:p="http://schemas.microsoft.com/office/2006/metadata/properties" xmlns:ns2="1e3d3dff-4392-4e99-aebd-c95b4ee1afdd" targetNamespace="http://schemas.microsoft.com/office/2006/metadata/properties" ma:root="true" ma:fieldsID="f4c5863e00f1f3e420d83f0f6506b778" ns2:_="">
    <xsd:import namespace="1e3d3dff-4392-4e99-aebd-c95b4ee1afd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3d3dff-4392-4e99-aebd-c95b4ee1afd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2.xml><?xml version="1.0" encoding="utf-8"?>
<ds:datastoreItem xmlns:ds="http://schemas.openxmlformats.org/officeDocument/2006/customXml" ds:itemID="{86700FFD-028A-4A29-AEB9-CF2058308C28}">
  <ds:schemaRefs>
    <ds:schemaRef ds:uri="http://purl.org/dc/elements/1.1/"/>
    <ds:schemaRef ds:uri="http://www.w3.org/XML/1998/namespace"/>
    <ds:schemaRef ds:uri="1e3d3dff-4392-4e99-aebd-c95b4ee1afdd"/>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s>
</ds:datastoreItem>
</file>

<file path=customXml/itemProps3.xml><?xml version="1.0" encoding="utf-8"?>
<ds:datastoreItem xmlns:ds="http://schemas.openxmlformats.org/officeDocument/2006/customXml" ds:itemID="{37425C56-F088-4305-AD89-61068665B3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3d3dff-4392-4e99-aebd-c95b4ee1af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618</Words>
  <Characters>3797</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2021-02-19T09:54:00Z</dcterms:created>
  <dcterms:modified xsi:type="dcterms:W3CDTF">2024-10-29T08:03:00Z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0x010100566D0F9F66381045855366F2B33946E7</vt:lpwstr>
  </property>
</Properties>
</file>