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310FBC70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035B68">
        <w:rPr>
          <w:spacing w:val="-2"/>
        </w:rPr>
        <w:br/>
      </w:r>
      <w:r w:rsidR="00035B68" w:rsidRPr="00035B68">
        <w:rPr>
          <w:spacing w:val="-2"/>
        </w:rPr>
        <w:t xml:space="preserve">Učinkovitost poslovanja Mestne občine Nova Gorica </w:t>
      </w:r>
      <w:r w:rsidR="00035B68">
        <w:rPr>
          <w:spacing w:val="-2"/>
        </w:rPr>
        <w:br/>
      </w:r>
      <w:r w:rsidR="00035B68" w:rsidRPr="00035B68">
        <w:rPr>
          <w:spacing w:val="-2"/>
        </w:rPr>
        <w:t>z nepremičnim premoženjem</w:t>
      </w:r>
    </w:p>
    <w:p w14:paraId="26379891" w14:textId="77777777" w:rsidR="00035B68" w:rsidRDefault="00035B68" w:rsidP="00035B68">
      <w:pPr>
        <w:pStyle w:val="RStekst"/>
      </w:pPr>
      <w:r>
        <w:t xml:space="preserve">Računsko sodišče je revidiralo učinkovitost poslovanja </w:t>
      </w:r>
      <w:r w:rsidRPr="005F13A9">
        <w:rPr>
          <w:b/>
        </w:rPr>
        <w:t xml:space="preserve">Mestne </w:t>
      </w:r>
      <w:r>
        <w:rPr>
          <w:b/>
        </w:rPr>
        <w:t>o</w:t>
      </w:r>
      <w:r w:rsidRPr="002046E5">
        <w:rPr>
          <w:b/>
        </w:rPr>
        <w:t xml:space="preserve">bčine </w:t>
      </w:r>
      <w:r>
        <w:rPr>
          <w:b/>
        </w:rPr>
        <w:t>Nova Gorica</w:t>
      </w:r>
      <w:r>
        <w:t xml:space="preserve"> v letu 2021 v delu, ki se nanaša na nepremično premoženje. Pregledalo je načrtovanje, izvajanje in poročanje pri ravnanju z nepremičnim premoženjem. Računsko sodišče meni, da je občina ravnala </w:t>
      </w:r>
      <w:r w:rsidRPr="00035B68">
        <w:rPr>
          <w:rStyle w:val="RStekstBoldbarva"/>
          <w:color w:val="auto"/>
        </w:rPr>
        <w:t>neučinkovito.</w:t>
      </w:r>
    </w:p>
    <w:p w14:paraId="3DE4CAB8" w14:textId="77777777" w:rsidR="00035B68" w:rsidRPr="0085425C" w:rsidRDefault="00035B68" w:rsidP="00035B68">
      <w:pPr>
        <w:pStyle w:val="RStekst"/>
      </w:pPr>
      <w:r w:rsidRPr="0085425C">
        <w:t xml:space="preserve">Občina je vodila obvezno evidenco nepremičnega premoženja, </w:t>
      </w:r>
      <w:r w:rsidRPr="0085425C">
        <w:rPr>
          <w:lang w:eastAsia="sl-SI"/>
        </w:rPr>
        <w:t>register osnovnih sredstev</w:t>
      </w:r>
      <w:r w:rsidRPr="0085425C">
        <w:t xml:space="preserve"> in nekatere pomožne evidence</w:t>
      </w:r>
      <w:r w:rsidRPr="0085425C">
        <w:rPr>
          <w:lang w:eastAsia="sl-SI"/>
        </w:rPr>
        <w:t xml:space="preserve">. Tako obvezne kot pomožne evidence so bile </w:t>
      </w:r>
      <w:r w:rsidRPr="001406A8">
        <w:rPr>
          <w:lang w:eastAsia="sl-SI"/>
        </w:rPr>
        <w:t xml:space="preserve">pomanjkljive (med drugim </w:t>
      </w:r>
      <w:r w:rsidRPr="001406A8">
        <w:t>evidenca nepremičnega premoženja</w:t>
      </w:r>
      <w:r w:rsidRPr="001406A8">
        <w:rPr>
          <w:lang w:eastAsia="sl-SI"/>
        </w:rPr>
        <w:t xml:space="preserve"> za stavbe in dele stavb v pomembnem delu ni bila usklajena z vpisi v zemljiški knjigi) in niso zagotavljale neposredne medsebojne povezljivosti in povezljivosti z zemljiško knjigo. </w:t>
      </w:r>
      <w:r w:rsidRPr="001406A8">
        <w:t>S</w:t>
      </w:r>
      <w:r w:rsidRPr="001406A8">
        <w:rPr>
          <w:lang w:eastAsia="sl-SI"/>
        </w:rPr>
        <w:t>istem vodenja evidence nepremičnega premoženja je za zemljišča</w:t>
      </w:r>
      <w:r w:rsidRPr="00254656">
        <w:rPr>
          <w:lang w:eastAsia="sl-SI"/>
        </w:rPr>
        <w:t xml:space="preserve"> ob prilagoditvi zapisov omogočal primerjavo z zemljiško knjigo, </w:t>
      </w:r>
      <w:r w:rsidRPr="000B1C0B">
        <w:t>za objekte pa ne.</w:t>
      </w:r>
      <w:r>
        <w:t xml:space="preserve">  </w:t>
      </w:r>
    </w:p>
    <w:p w14:paraId="0D41B8BB" w14:textId="77777777" w:rsidR="00035B68" w:rsidRDefault="00035B68" w:rsidP="00035B68">
      <w:pPr>
        <w:pStyle w:val="RStekst"/>
      </w:pPr>
      <w:r w:rsidRPr="0085425C">
        <w:t xml:space="preserve">Občina </w:t>
      </w:r>
      <w:r>
        <w:t>ni ustrezno</w:t>
      </w:r>
      <w:r w:rsidRPr="0085425C">
        <w:t xml:space="preserve"> poskrbela za določitev odgovornih oseb v zvezi z ravnanjem z nepremičnim premoženjem, </w:t>
      </w:r>
      <w:r>
        <w:t xml:space="preserve">saj </w:t>
      </w:r>
      <w:r w:rsidRPr="00FA1F9B">
        <w:t xml:space="preserve">ni imela </w:t>
      </w:r>
      <w:r w:rsidRPr="004E130D">
        <w:t>jasno razdelanih nalog oziroma pristojnosti</w:t>
      </w:r>
      <w:r w:rsidRPr="00FA1F9B">
        <w:t xml:space="preserve"> za področje nepremičnega premoženja</w:t>
      </w:r>
      <w:r w:rsidRPr="0085425C">
        <w:t xml:space="preserve">. </w:t>
      </w:r>
      <w:r w:rsidRPr="004E130D">
        <w:t>Prav tako ni bila povsem dosledna pri določanju skrbnika posameznih pravnih poslov.</w:t>
      </w:r>
    </w:p>
    <w:p w14:paraId="2D58A724" w14:textId="77777777" w:rsidR="00035B68" w:rsidRPr="0085425C" w:rsidRDefault="00035B68" w:rsidP="00035B68">
      <w:pPr>
        <w:pStyle w:val="RStekst"/>
      </w:pPr>
      <w:r>
        <w:t xml:space="preserve">Glede </w:t>
      </w:r>
      <w:r w:rsidRPr="002F4C8D">
        <w:rPr>
          <w:b/>
        </w:rPr>
        <w:t>načrtovanja</w:t>
      </w:r>
      <w:r>
        <w:rPr>
          <w:b/>
        </w:rPr>
        <w:t xml:space="preserve"> </w:t>
      </w:r>
      <w:r w:rsidRPr="002F4C8D">
        <w:rPr>
          <w:b/>
        </w:rPr>
        <w:t>poslovanja občine z nepremičnim premoženjem</w:t>
      </w:r>
      <w:r>
        <w:t xml:space="preserve"> je računsko sodišče ugotovilo, da o</w:t>
      </w:r>
      <w:r w:rsidRPr="00FE0619">
        <w:t xml:space="preserve">bčina </w:t>
      </w:r>
      <w:r w:rsidRPr="0085425C">
        <w:t>ni imela dolgoročnega dokumenta, ki bi se nanašal na celotno poslovanje občine z nepremičnim premoženjem. V</w:t>
      </w:r>
      <w:r w:rsidRPr="0085425C">
        <w:rPr>
          <w:rFonts w:cs="Arial"/>
          <w:lang w:eastAsia="sl-SI"/>
        </w:rPr>
        <w:t xml:space="preserve"> proračunskih dokumentih je opisno opredelila </w:t>
      </w:r>
      <w:r w:rsidRPr="0085425C">
        <w:t>dolgoročne cilje, ki pa niso</w:t>
      </w:r>
      <w:r>
        <w:t xml:space="preserve"> bili določeni na</w:t>
      </w:r>
      <w:r w:rsidRPr="0085425C">
        <w:t xml:space="preserve"> merljiv</w:t>
      </w:r>
      <w:r>
        <w:t xml:space="preserve"> način</w:t>
      </w:r>
      <w:r w:rsidRPr="0085425C">
        <w:t xml:space="preserve">. </w:t>
      </w:r>
    </w:p>
    <w:p w14:paraId="3D10D550" w14:textId="77777777" w:rsidR="00035B68" w:rsidRDefault="00035B68" w:rsidP="00035B68">
      <w:pPr>
        <w:pStyle w:val="RStekst"/>
      </w:pPr>
      <w:r w:rsidRPr="0085425C">
        <w:t xml:space="preserve">Občina je za leto 2021 pripravila </w:t>
      </w:r>
      <w:r>
        <w:t>in med letom dopolnjevala načrt ravnanja z nepremičnim premoženjem oziroma je sprejela novega,</w:t>
      </w:r>
      <w:r w:rsidRPr="00A13534">
        <w:t xml:space="preserve"> </w:t>
      </w:r>
      <w:r w:rsidRPr="0085425C">
        <w:t>v katerem so bile navedene nepremičnine, ki jih je prodajala ali kupovala</w:t>
      </w:r>
      <w:r>
        <w:t xml:space="preserve">. </w:t>
      </w:r>
      <w:r w:rsidRPr="00D81AE0">
        <w:t xml:space="preserve">Občina </w:t>
      </w:r>
      <w:r>
        <w:t>v primerih sprejema novega</w:t>
      </w:r>
      <w:r w:rsidDel="00ED5DBA">
        <w:t xml:space="preserve"> </w:t>
      </w:r>
      <w:r>
        <w:t>načrta ravnanja z nepremičnim premoženjem v načrtu ni predstavila niti vsebinskih razlogov niti v kakšnem razmerju so spremembe glede na predhodni veljavni načrt.</w:t>
      </w:r>
      <w:r w:rsidRPr="00C00C30">
        <w:t xml:space="preserve"> </w:t>
      </w:r>
      <w:r w:rsidRPr="0085425C">
        <w:t xml:space="preserve">Občina </w:t>
      </w:r>
      <w:r>
        <w:t xml:space="preserve">tudi </w:t>
      </w:r>
      <w:r w:rsidRPr="0085425C">
        <w:t xml:space="preserve">ni obrazložila razlik med načrtovanimi proračunskimi sredstvi </w:t>
      </w:r>
      <w:r w:rsidRPr="009527AA">
        <w:t>in vrednostmi v načrtu ravnanja</w:t>
      </w:r>
      <w:r>
        <w:t>.</w:t>
      </w:r>
      <w:r w:rsidRPr="001406A8">
        <w:t xml:space="preserve"> </w:t>
      </w:r>
    </w:p>
    <w:p w14:paraId="49D4319B" w14:textId="77777777" w:rsidR="00035B68" w:rsidRPr="0085425C" w:rsidRDefault="00035B68" w:rsidP="00035B68">
      <w:pPr>
        <w:pStyle w:val="RStekst"/>
      </w:pPr>
      <w:r w:rsidRPr="0085425C">
        <w:t>Občina ni pripravila načrta o najemih, oddajah, vzdrževanju in n</w:t>
      </w:r>
      <w:r>
        <w:t>epremičninah, ki niso v uporabi</w:t>
      </w:r>
      <w:r w:rsidRPr="0085425C">
        <w:t>, za nekatere od teh ravnanj pa tudi ni imela popolnega pregleda stanja (ni imela popolnega pregleda o stanju objektov in popolnega pregleda nepremičnin, ki niso v uporabi).</w:t>
      </w:r>
    </w:p>
    <w:p w14:paraId="6C7FF573" w14:textId="77777777" w:rsidR="00035B68" w:rsidRDefault="00035B68" w:rsidP="00035B68">
      <w:pPr>
        <w:pStyle w:val="RStekst"/>
      </w:pPr>
      <w:r w:rsidRPr="00254656">
        <w:t>Občina je sicer pojasnila način načrtovanja sredstev na področju ravnanja z nepremičnim premoženjem, ni pa predložila dokumentacije, iz katere bi bil v celoti razviden način načrtovanja teh sredstev.</w:t>
      </w:r>
    </w:p>
    <w:p w14:paraId="03F83D6F" w14:textId="77777777" w:rsidR="00035B68" w:rsidRPr="005E41E2" w:rsidRDefault="00035B68" w:rsidP="00035B68">
      <w:pPr>
        <w:pStyle w:val="RStekst"/>
      </w:pPr>
      <w:r>
        <w:t xml:space="preserve">Glede </w:t>
      </w:r>
      <w:r>
        <w:rPr>
          <w:b/>
        </w:rPr>
        <w:t>izvajanja</w:t>
      </w:r>
      <w:r w:rsidRPr="002F4C8D">
        <w:rPr>
          <w:b/>
        </w:rPr>
        <w:t xml:space="preserve"> poslovanja občine z nepremičnim premoženjem</w:t>
      </w:r>
      <w:r>
        <w:t xml:space="preserve"> </w:t>
      </w:r>
      <w:r w:rsidRPr="009A6B51">
        <w:t xml:space="preserve">je računsko sodišče ugotovilo neučinkovitosti pri izvedbi postopkov nakupov, saj </w:t>
      </w:r>
      <w:r w:rsidRPr="002E04FF">
        <w:t>nepremičnin</w:t>
      </w:r>
      <w:r>
        <w:t xml:space="preserve"> v nekaj primerih</w:t>
      </w:r>
      <w:r w:rsidRPr="002E04FF">
        <w:t xml:space="preserve"> ni vključila v načrt </w:t>
      </w:r>
      <w:r w:rsidRPr="002E04FF">
        <w:lastRenderedPageBreak/>
        <w:t>ravnanja z nepremičnim premoženjem</w:t>
      </w:r>
      <w:r w:rsidRPr="000B1C0B">
        <w:t xml:space="preserve">, </w:t>
      </w:r>
      <w:r>
        <w:t>v 1 primeru nakupa večje vrednosti, kjer se je nakupna cena razlikovala od ocenjene, primernosti nakupne cene ni dodatno utemeljila</w:t>
      </w:r>
      <w:r w:rsidRPr="000B1C0B">
        <w:t xml:space="preserve">, postopkov nakupov </w:t>
      </w:r>
      <w:r>
        <w:t xml:space="preserve">večjih vrednosti tudi </w:t>
      </w:r>
      <w:r w:rsidRPr="000B1C0B">
        <w:t>ni vodila komisija, prav tako tudi odločitve niso bile dokumentirane</w:t>
      </w:r>
      <w:r w:rsidRPr="002E04FF">
        <w:t>.</w:t>
      </w:r>
      <w:r>
        <w:t xml:space="preserve"> </w:t>
      </w:r>
      <w:r w:rsidRPr="00254656">
        <w:t xml:space="preserve">Postopki prodaj </w:t>
      </w:r>
      <w:r>
        <w:t xml:space="preserve">in menjav </w:t>
      </w:r>
      <w:r w:rsidRPr="00254656">
        <w:t>so bili ustrezno izvedeni</w:t>
      </w:r>
      <w:r w:rsidRPr="009A6B51">
        <w:t xml:space="preserve">, </w:t>
      </w:r>
      <w:r>
        <w:t xml:space="preserve">v nekaj primerih pa je občina določila predolg plačilni rok. Pri najemih občina v 1 primeru </w:t>
      </w:r>
      <w:r w:rsidRPr="005E41E2">
        <w:t>ni pridobila cenitve</w:t>
      </w:r>
      <w:r>
        <w:t xml:space="preserve">, </w:t>
      </w:r>
      <w:r w:rsidRPr="005E41E2">
        <w:t>ni zabeležila referenčnih cen primerljivih najemov oziroma ni pridobila drugih ponudb za najem prostorov</w:t>
      </w:r>
      <w:r w:rsidRPr="0080730E">
        <w:t>.</w:t>
      </w:r>
      <w:r>
        <w:t xml:space="preserve"> Pri oddajanju</w:t>
      </w:r>
      <w:r w:rsidRPr="00687289">
        <w:rPr>
          <w:b/>
        </w:rPr>
        <w:t xml:space="preserve"> </w:t>
      </w:r>
      <w:r w:rsidRPr="00DF4B73">
        <w:t>poslovnih prostorov v najem</w:t>
      </w:r>
      <w:r w:rsidRPr="00B37986">
        <w:t xml:space="preserve"> </w:t>
      </w:r>
      <w:r>
        <w:t xml:space="preserve">v več </w:t>
      </w:r>
      <w:r w:rsidRPr="00035C63">
        <w:t>p</w:t>
      </w:r>
      <w:r>
        <w:t>rimerih teh</w:t>
      </w:r>
      <w:r w:rsidRPr="00035C63">
        <w:t xml:space="preserve"> </w:t>
      </w:r>
      <w:r>
        <w:t xml:space="preserve">oddaj ni </w:t>
      </w:r>
      <w:r w:rsidRPr="00035C63">
        <w:t xml:space="preserve">vodila </w:t>
      </w:r>
      <w:r>
        <w:t xml:space="preserve">v skladu s </w:t>
      </w:r>
      <w:r w:rsidRPr="00BA6FE0">
        <w:t xml:space="preserve">predpisi </w:t>
      </w:r>
      <w:r w:rsidRPr="00674F60">
        <w:t>in z načeli o smotrnosti poslovanja</w:t>
      </w:r>
      <w:r>
        <w:t xml:space="preserve"> (najemnine se niso usklajevale z rastjo cen, neizpolnjeni pogoji za brezplačno oddajo,</w:t>
      </w:r>
      <w:r w:rsidRPr="000B1C0B">
        <w:t xml:space="preserve"> </w:t>
      </w:r>
      <w:r>
        <w:t>pogodbe brez določila o možnosti odpovedi brez razloga</w:t>
      </w:r>
      <w:r w:rsidRPr="001406A8">
        <w:t>). Pri oddaji poslovne nepremičnine</w:t>
      </w:r>
      <w:r>
        <w:t>,</w:t>
      </w:r>
      <w:r w:rsidRPr="001406A8">
        <w:t xml:space="preserve"> namenjene nadaljnji neprofitni oddaji prostorov v najem</w:t>
      </w:r>
      <w:r>
        <w:t>,</w:t>
      </w:r>
      <w:r w:rsidRPr="001406A8">
        <w:t xml:space="preserve"> je občina s subvencioniranjem najemnine financirala delovanje družbe, za kar ni imela podlage v javnofinančnih predpisih. Za nepremičnine</w:t>
      </w:r>
      <w:r>
        <w:t>, dane</w:t>
      </w:r>
      <w:r w:rsidRPr="009A6B51">
        <w:t xml:space="preserve"> v upravljanje</w:t>
      </w:r>
      <w:r>
        <w:t>,</w:t>
      </w:r>
      <w:r w:rsidRPr="009A6B51">
        <w:t xml:space="preserve"> občina </w:t>
      </w:r>
      <w:r w:rsidRPr="00674F60">
        <w:t>v vseh primerih</w:t>
      </w:r>
      <w:r>
        <w:t xml:space="preserve"> ni sprejela</w:t>
      </w:r>
      <w:r w:rsidRPr="009A6B51">
        <w:t xml:space="preserve"> cenikov</w:t>
      </w:r>
      <w:r>
        <w:t xml:space="preserve"> za</w:t>
      </w:r>
      <w:r w:rsidRPr="009A6B51">
        <w:t xml:space="preserve"> nadaljnj</w:t>
      </w:r>
      <w:r>
        <w:t>o</w:t>
      </w:r>
      <w:r w:rsidRPr="009A6B51">
        <w:t xml:space="preserve"> uporab</w:t>
      </w:r>
      <w:r>
        <w:t>o prostorov</w:t>
      </w:r>
      <w:r w:rsidRPr="009A6B51">
        <w:t xml:space="preserve"> oziroma so </w:t>
      </w:r>
      <w:r>
        <w:t>jih</w:t>
      </w:r>
      <w:r w:rsidRPr="009A6B51">
        <w:t xml:space="preserve"> </w:t>
      </w:r>
      <w:r>
        <w:t xml:space="preserve">v nekaterih primerih </w:t>
      </w:r>
      <w:r w:rsidRPr="009A6B51">
        <w:t xml:space="preserve">določali javni zavodi, </w:t>
      </w:r>
      <w:r>
        <w:t xml:space="preserve">prav tako pa tudi </w:t>
      </w:r>
      <w:r w:rsidRPr="009A6B51">
        <w:t>ni pridobivala prihodkov od najemnin in uporabnin, ki so jih javni zavodi realizirali</w:t>
      </w:r>
      <w:r>
        <w:t>.</w:t>
      </w:r>
    </w:p>
    <w:p w14:paraId="65597A27" w14:textId="77777777" w:rsidR="00035B68" w:rsidRDefault="00035B68" w:rsidP="00035B68">
      <w:pPr>
        <w:pStyle w:val="RStekst"/>
      </w:pPr>
      <w:r w:rsidRPr="00254656">
        <w:t xml:space="preserve">Glede </w:t>
      </w:r>
      <w:r w:rsidRPr="00254656">
        <w:rPr>
          <w:b/>
        </w:rPr>
        <w:t>poročanja občine v zvezi z nepremičnim premoženjem</w:t>
      </w:r>
      <w:r w:rsidRPr="00254656">
        <w:t xml:space="preserve"> je računsko sodišče ugotovilo, da je občina ob koncu leta poročala o realiziranih poslih in vrednosti teh poslov,</w:t>
      </w:r>
      <w:r>
        <w:t xml:space="preserve"> ni pa navedla </w:t>
      </w:r>
      <w:r w:rsidRPr="009621AB">
        <w:rPr>
          <w:lang w:eastAsia="sl-SI"/>
        </w:rPr>
        <w:t xml:space="preserve">nerealiziranih poslov in </w:t>
      </w:r>
      <w:r w:rsidRPr="009621AB">
        <w:rPr>
          <w:rFonts w:cs="Arial"/>
          <w:lang w:eastAsia="sl-SI"/>
        </w:rPr>
        <w:t>tudi ni naved</w:t>
      </w:r>
      <w:r>
        <w:rPr>
          <w:rFonts w:cs="Arial"/>
          <w:lang w:eastAsia="sl-SI"/>
        </w:rPr>
        <w:t>la</w:t>
      </w:r>
      <w:r w:rsidRPr="009621AB">
        <w:rPr>
          <w:rFonts w:cs="Arial"/>
          <w:lang w:eastAsia="sl-SI"/>
        </w:rPr>
        <w:t xml:space="preserve"> razlogov </w:t>
      </w:r>
      <w:r w:rsidRPr="000B1C0B">
        <w:rPr>
          <w:rFonts w:cs="Arial"/>
          <w:lang w:eastAsia="sl-SI"/>
        </w:rPr>
        <w:t>za nepopolno realizacijo načrtovane realizacije</w:t>
      </w:r>
      <w:r w:rsidRPr="000B1C0B">
        <w:t>.</w:t>
      </w:r>
      <w:r w:rsidRPr="00254656">
        <w:t xml:space="preserve"> </w:t>
      </w:r>
      <w:r w:rsidRPr="0085425C">
        <w:t>Občina v zaključnem računu ni predstavila realizacije ciljev</w:t>
      </w:r>
      <w:r>
        <w:t>,</w:t>
      </w:r>
      <w:r w:rsidRPr="0085425C">
        <w:t xml:space="preserve"> poveznih z ravnanjem z nepremičnim premoženjem</w:t>
      </w:r>
      <w:r>
        <w:t>,</w:t>
      </w:r>
      <w:r w:rsidRPr="00254656">
        <w:t xml:space="preserve"> </w:t>
      </w:r>
      <w:r>
        <w:t>navedla je le, da so cilji doseženi</w:t>
      </w:r>
      <w:r w:rsidRPr="00254656">
        <w:t>, vendar navedb ni mogla podpreti, saj cilji že v fazi načrtovanja niso bili določeni merljivo.</w:t>
      </w:r>
      <w:r>
        <w:t xml:space="preserve"> Občina v </w:t>
      </w:r>
      <w:r w:rsidRPr="0085425C">
        <w:t xml:space="preserve">zaključnem računu </w:t>
      </w:r>
      <w:r>
        <w:t xml:space="preserve">za pomembnejše nakupe </w:t>
      </w:r>
      <w:r>
        <w:rPr>
          <w:lang w:eastAsia="sl-SI"/>
        </w:rPr>
        <w:t>večinoma ni podala obrazložitev</w:t>
      </w:r>
      <w:r w:rsidRPr="00254656">
        <w:t>.</w:t>
      </w:r>
    </w:p>
    <w:p w14:paraId="34B0182A" w14:textId="77777777" w:rsidR="00035B68" w:rsidRDefault="00035B68" w:rsidP="00035B68">
      <w:pPr>
        <w:pStyle w:val="RStekst"/>
      </w:pPr>
      <w:r w:rsidRPr="00865457">
        <w:t xml:space="preserve">Računsko sodišče je občini podalo </w:t>
      </w:r>
      <w:r w:rsidRPr="00F965B9">
        <w:rPr>
          <w:b/>
          <w:bCs w:val="0"/>
        </w:rPr>
        <w:t>priporočila</w:t>
      </w:r>
      <w:r w:rsidRPr="00865457">
        <w:t xml:space="preserve"> za izboljšanje poslovanja, ni pa zahtevalo predložitve odzivnega poročila, saj je občina med revizijskim postopkom, kjer je bilo mogoče, sprejela ustrezne</w:t>
      </w:r>
      <w:r>
        <w:t xml:space="preserve"> </w:t>
      </w:r>
      <w:r w:rsidRPr="00865457">
        <w:t>popravljalne ukrepe za odpravo razkritih neučinkovitosti oziroma ukrepe, ki bodo zmanjšali možnost nastajanja istovrstnih neučinkovitosti v prihodnje.</w:t>
      </w:r>
      <w:r>
        <w:t xml:space="preserve"> Izvedeni ukrepi občine </w:t>
      </w:r>
      <w:r w:rsidRPr="00F77299">
        <w:t>se med drugim nanašajo na ureditev evidenc nepremičnega premoženja, dokument dolgoročnega načrtovanja, revalorizacijo pogodb za oddajo v najem in pri nepremičninah, danih v upravljanje, na prejemanje prihodkov od najemnin in uporabnin.</w:t>
      </w:r>
    </w:p>
    <w:p w14:paraId="21CC44C3" w14:textId="3595EFFF" w:rsidR="003D1FAE" w:rsidRDefault="003D1FAE" w:rsidP="003D1FAE">
      <w:pPr>
        <w:pStyle w:val="RStekst"/>
      </w:pPr>
    </w:p>
    <w:p w14:paraId="35897DF7" w14:textId="0E0DD91B" w:rsidR="008629A2" w:rsidRDefault="008629A2" w:rsidP="008629A2">
      <w:pPr>
        <w:pStyle w:val="RStekst"/>
      </w:pPr>
      <w:r>
        <w:t xml:space="preserve">Ljubljana, </w:t>
      </w:r>
      <w:r w:rsidR="00035B68">
        <w:t>30. decembra 2024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415614C5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1E31A7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9C6BB" w14:textId="77777777" w:rsidR="00035B68" w:rsidRPr="00953FA7" w:rsidRDefault="00035B68" w:rsidP="00035B68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0" w:name="_Hlk172702987"/>
    <w:bookmarkStart w:id="1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2D0BD562" wp14:editId="3A05D95C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</w:r>
    <w:r w:rsidRPr="00953FA7">
      <w:rPr>
        <w:sz w:val="16"/>
        <w:szCs w:val="16"/>
      </w:rPr>
      <w:tab/>
      <w:t>E: sloaud@rs-rs.si</w:t>
    </w:r>
  </w:p>
  <w:p w14:paraId="25D9BBF1" w14:textId="77777777" w:rsidR="00035B68" w:rsidRPr="00284348" w:rsidRDefault="00035B68" w:rsidP="00035B68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496068171">
    <w:abstractNumId w:val="18"/>
  </w:num>
  <w:num w:numId="2" w16cid:durableId="1417899343">
    <w:abstractNumId w:val="11"/>
  </w:num>
  <w:num w:numId="3" w16cid:durableId="740634926">
    <w:abstractNumId w:val="19"/>
    <w:lvlOverride w:ilvl="0">
      <w:startOverride w:val="1"/>
    </w:lvlOverride>
  </w:num>
  <w:num w:numId="4" w16cid:durableId="87777552">
    <w:abstractNumId w:val="22"/>
  </w:num>
  <w:num w:numId="5" w16cid:durableId="1693141545">
    <w:abstractNumId w:val="4"/>
  </w:num>
  <w:num w:numId="6" w16cid:durableId="1949854040">
    <w:abstractNumId w:val="16"/>
  </w:num>
  <w:num w:numId="7" w16cid:durableId="1286039632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1672440908">
    <w:abstractNumId w:val="12"/>
  </w:num>
  <w:num w:numId="9" w16cid:durableId="894508001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511917845">
    <w:abstractNumId w:val="10"/>
  </w:num>
  <w:num w:numId="11" w16cid:durableId="1736010429">
    <w:abstractNumId w:val="1"/>
  </w:num>
  <w:num w:numId="12" w16cid:durableId="1694113407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1576547602">
    <w:abstractNumId w:val="14"/>
  </w:num>
  <w:num w:numId="14" w16cid:durableId="390812580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1534684960">
    <w:abstractNumId w:val="9"/>
  </w:num>
  <w:num w:numId="16" w16cid:durableId="954755652">
    <w:abstractNumId w:val="17"/>
  </w:num>
  <w:num w:numId="17" w16cid:durableId="1202936248">
    <w:abstractNumId w:val="13"/>
  </w:num>
  <w:num w:numId="18" w16cid:durableId="1929850812">
    <w:abstractNumId w:val="21"/>
  </w:num>
  <w:num w:numId="19" w16cid:durableId="983924461">
    <w:abstractNumId w:val="2"/>
  </w:num>
  <w:num w:numId="20" w16cid:durableId="1993219092">
    <w:abstractNumId w:val="7"/>
  </w:num>
  <w:num w:numId="21" w16cid:durableId="1603610794">
    <w:abstractNumId w:val="3"/>
  </w:num>
  <w:num w:numId="22" w16cid:durableId="223837635">
    <w:abstractNumId w:val="23"/>
  </w:num>
  <w:num w:numId="23" w16cid:durableId="1165585950">
    <w:abstractNumId w:val="6"/>
  </w:num>
  <w:num w:numId="24" w16cid:durableId="1279068799">
    <w:abstractNumId w:val="5"/>
  </w:num>
  <w:num w:numId="25" w16cid:durableId="1623624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1246183">
    <w:abstractNumId w:val="0"/>
  </w:num>
  <w:num w:numId="27" w16cid:durableId="65032716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mirrorMargins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652C"/>
    <w:rsid w:val="00035B68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93FBC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0031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3A2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054D4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schemas.microsoft.com/office/2006/documentManagement/types"/>
    <ds:schemaRef ds:uri="http://purl.org/dc/terms/"/>
    <ds:schemaRef ds:uri="http://purl.org/dc/elements/1.1/"/>
    <ds:schemaRef ds:uri="1e3d3dff-4392-4e99-aebd-c95b4ee1afdd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2024-12-30T09:05:00Z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