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3EAE869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EF4F00">
        <w:rPr>
          <w:spacing w:val="-2"/>
        </w:rPr>
        <w:br/>
      </w:r>
      <w:r w:rsidR="00EF4F00" w:rsidRPr="00EF4F00">
        <w:rPr>
          <w:spacing w:val="-2"/>
        </w:rPr>
        <w:t>Tehnična vzpostavitev in organizacija posredovanja podatkov za izvedbo nadzorov na podlagi Zakona o pomoči gospodarstvu za omilitev posledic energetske krize</w:t>
      </w:r>
    </w:p>
    <w:p w14:paraId="6C960705" w14:textId="77777777" w:rsidR="00995498" w:rsidRPr="00995498" w:rsidRDefault="00995498" w:rsidP="00995498">
      <w:pPr>
        <w:pStyle w:val="RStekst"/>
      </w:pPr>
      <w:r w:rsidRPr="009F68E0">
        <w:t xml:space="preserve">Računsko sodišče je revidiralo učinkovitost poslovanja </w:t>
      </w:r>
      <w:r>
        <w:t>SPIRIT Slovenija, javne agencije</w:t>
      </w:r>
      <w:r w:rsidRPr="002B6253">
        <w:rPr>
          <w:b/>
        </w:rPr>
        <w:t xml:space="preserve"> </w:t>
      </w:r>
      <w:r w:rsidRPr="009F68E0">
        <w:t xml:space="preserve">v delu, ki se nanaša na tehnično vzpostavitev in organizacijo posredovanja podatkov za izvedbo nadzorov nad višino prejetih pomoči gospodarstvu zaradi visokih cen energentov na podlagi Zakona o pomoči gospodarstvu za omilitev posledic energetske krize. </w:t>
      </w:r>
      <w:r>
        <w:t>Računsko s</w:t>
      </w:r>
      <w:r w:rsidRPr="009F68E0">
        <w:t xml:space="preserve">odišče je </w:t>
      </w:r>
      <w:r>
        <w:t>ugotovilo</w:t>
      </w:r>
      <w:r w:rsidRPr="009F68E0">
        <w:t xml:space="preserve">, da agencija v tem delu poslovanja </w:t>
      </w:r>
      <w:r w:rsidRPr="00995498">
        <w:rPr>
          <w:rStyle w:val="RStekstBoldbarva"/>
          <w:color w:val="auto"/>
        </w:rPr>
        <w:t>ni bila učinkovita.</w:t>
      </w:r>
    </w:p>
    <w:p w14:paraId="52982DF2" w14:textId="5F4651C9" w:rsidR="00995498" w:rsidRPr="00417953" w:rsidRDefault="00995498" w:rsidP="00995498">
      <w:pPr>
        <w:pStyle w:val="RStekst"/>
      </w:pPr>
      <w:r w:rsidRPr="00FA0873">
        <w:t xml:space="preserve">Namen </w:t>
      </w:r>
      <w:r w:rsidRPr="004E5756">
        <w:t>Zakona o pomoči gospodarstvu za omilitev posledic energetske krize</w:t>
      </w:r>
      <w:r w:rsidRPr="00FA0873">
        <w:t xml:space="preserve"> je bil</w:t>
      </w:r>
      <w:r>
        <w:t xml:space="preserve"> med drugim</w:t>
      </w:r>
      <w:r w:rsidRPr="00FA0873">
        <w:t xml:space="preserve"> z različnimi oblikami finančne pomoči podpreti gospodarstvo, ki se je v letu</w:t>
      </w:r>
      <w:r w:rsidRPr="003562B2">
        <w:t> </w:t>
      </w:r>
      <w:r w:rsidRPr="00FA0873">
        <w:t xml:space="preserve">2023 soočalo z visokimi cenami energentov. Da bi podjetja pomoč prejela takrat, ko so jo dejansko potrebovala, so </w:t>
      </w:r>
      <w:r>
        <w:t xml:space="preserve">morala </w:t>
      </w:r>
      <w:r w:rsidRPr="00FA0873">
        <w:t>vloge za pomoč za celotno leto 2023 vloži</w:t>
      </w:r>
      <w:r>
        <w:t>ti</w:t>
      </w:r>
      <w:r w:rsidRPr="00FA0873">
        <w:t xml:space="preserve"> do 28.</w:t>
      </w:r>
      <w:r>
        <w:t> 2. </w:t>
      </w:r>
      <w:r w:rsidRPr="00FA0873">
        <w:t xml:space="preserve">2023. Izračun višine pomoči, do katere je bilo posamezno podjetje upravičeno, je temeljil na ocenah prihodnjih kupljenih količin energentov in njihovih predvidenih cenah. </w:t>
      </w:r>
      <w:r w:rsidRPr="004E5756">
        <w:t>Zakon o pomoči gospodarstvu za omilitev posledic energetske krize</w:t>
      </w:r>
      <w:r w:rsidRPr="00FA0873">
        <w:t xml:space="preserve"> je agenciji zato naložil izvedbo naknadnih nadzorov nad višino prejetih pomoči, in </w:t>
      </w:r>
      <w:r>
        <w:t>sicer</w:t>
      </w:r>
      <w:r w:rsidRPr="00FA0873">
        <w:t xml:space="preserve"> na podlagi primerjave ocenjenih ter dejanskih količin in </w:t>
      </w:r>
      <w:r w:rsidRPr="00417953">
        <w:t xml:space="preserve">cen kupljenih energentov. Podatke za nadzor so morali agenciji posredovati </w:t>
      </w:r>
      <w:r>
        <w:t>dobavitelji in</w:t>
      </w:r>
      <w:r w:rsidRPr="00417953">
        <w:t xml:space="preserve"> </w:t>
      </w:r>
      <w:r>
        <w:t>distributerji energentov</w:t>
      </w:r>
      <w:r w:rsidR="004E0017">
        <w:t xml:space="preserve"> </w:t>
      </w:r>
      <w:r w:rsidRPr="00417953">
        <w:t>(zavezanci za posredovanje podatkov), za katere je bila v primeru neizpolnitve te obveznosti predvidena globa v znesku 100.000 EUR.</w:t>
      </w:r>
    </w:p>
    <w:p w14:paraId="332782BE" w14:textId="77777777" w:rsidR="00995498" w:rsidRPr="00417953" w:rsidRDefault="00995498" w:rsidP="00995498">
      <w:pPr>
        <w:pStyle w:val="RStekst"/>
      </w:pPr>
      <w:r w:rsidRPr="00417953">
        <w:t>Agencija je 1. 3. 2023 predpisala vrsto in obliko podatkov za izvedbo nadzorov ter način elektronske izmenjave podatkov. Od zavezancev za posredovanje podatkov je zahtevala, da v skladu z objavljenimi tehničnimi specifikacijami razvijejo in v svoje informacijsko okolje namestijo programski vmesnik (angl</w:t>
      </w:r>
      <w:r>
        <w:t>.</w:t>
      </w:r>
      <w:r w:rsidRPr="00417953">
        <w:t xml:space="preserve">: </w:t>
      </w:r>
      <w:proofErr w:type="spellStart"/>
      <w:r w:rsidRPr="00417953">
        <w:t>Application</w:t>
      </w:r>
      <w:proofErr w:type="spellEnd"/>
      <w:r w:rsidRPr="00417953">
        <w:t xml:space="preserve"> </w:t>
      </w:r>
      <w:proofErr w:type="spellStart"/>
      <w:r w:rsidRPr="00417953">
        <w:t>Programming</w:t>
      </w:r>
      <w:proofErr w:type="spellEnd"/>
      <w:r w:rsidRPr="00417953">
        <w:t xml:space="preserve"> </w:t>
      </w:r>
      <w:proofErr w:type="spellStart"/>
      <w:r w:rsidRPr="00417953">
        <w:t>Interface</w:t>
      </w:r>
      <w:proofErr w:type="spellEnd"/>
      <w:r w:rsidRPr="00417953">
        <w:t xml:space="preserve"> </w:t>
      </w:r>
      <w:r>
        <w:t xml:space="preserve">– </w:t>
      </w:r>
      <w:r w:rsidRPr="00417953">
        <w:t>API), ki ji bo omogočil prevzem podatkov v zavezančevem informacijskem okolju. Odločitev za to obliko tehnične vzpostavitve posredovanja podatkov ni temeljila na primerjalni analizi, v okviru katere bi agencija utemeljila izbrani pristop v primerjavi s širše uporabljanimi pristopi, kot je na primer centraliziran programski vmesnik za zbiranje podatkov ali ročno izpolnjevanje spletnih obrazcev. Agencija tudi ni pripravila</w:t>
      </w:r>
      <w:r w:rsidRPr="004366BA">
        <w:t xml:space="preserve"> strokovno utemeljene</w:t>
      </w:r>
      <w:r w:rsidRPr="00417953">
        <w:t xml:space="preserve"> ocene stroškov, ki bi jih različne oblike vzpostavitve posredovanja podatkov za nadzore predstavljale za zavezance. </w:t>
      </w:r>
    </w:p>
    <w:p w14:paraId="0DCF8719" w14:textId="77777777" w:rsidR="00995498" w:rsidRPr="009F68E0" w:rsidRDefault="00995498" w:rsidP="00995498">
      <w:pPr>
        <w:pStyle w:val="RStekst"/>
      </w:pPr>
      <w:r w:rsidRPr="00417953">
        <w:t>Agencija je prejela 1.966 vlog za pomoč</w:t>
      </w:r>
      <w:r>
        <w:t>, na podlagi katerih se je izkazalo, d</w:t>
      </w:r>
      <w:r w:rsidRPr="007A4460">
        <w:t xml:space="preserve">a </w:t>
      </w:r>
      <w:r>
        <w:t>je med zavezanci za posredovanje podatkov</w:t>
      </w:r>
      <w:r w:rsidRPr="007A4460">
        <w:t xml:space="preserve"> približno 460</w:t>
      </w:r>
      <w:r>
        <w:t xml:space="preserve"> posrednih dobaviteljev, od katerih jih </w:t>
      </w:r>
      <w:bookmarkStart w:id="0" w:name="_Hlk182904872"/>
      <w:r>
        <w:t>mora približno 440 </w:t>
      </w:r>
      <w:r w:rsidRPr="007A4460">
        <w:t xml:space="preserve">poročati o </w:t>
      </w:r>
      <w:r>
        <w:t>do</w:t>
      </w:r>
      <w:r w:rsidRPr="007A4460">
        <w:t xml:space="preserve"> </w:t>
      </w:r>
      <w:r w:rsidRPr="009E4C71">
        <w:t>5 odjemalcih energentov</w:t>
      </w:r>
      <w:bookmarkEnd w:id="0"/>
      <w:r w:rsidRPr="009E4C71">
        <w:t>.</w:t>
      </w:r>
      <w:r>
        <w:t xml:space="preserve"> </w:t>
      </w:r>
      <w:r w:rsidRPr="00417953">
        <w:t>346 zavezancev je moralo posredovati podatke zgolj za enega odjemalca energentov. Med</w:t>
      </w:r>
      <w:r>
        <w:t xml:space="preserve"> njimi so bila številna </w:t>
      </w:r>
      <w:r w:rsidRPr="009F68E0">
        <w:t>gasilska in druga lokalna društva, občine, župnije ter druge manjše organizacije, ki so se</w:t>
      </w:r>
      <w:r>
        <w:t xml:space="preserve"> znašle</w:t>
      </w:r>
      <w:r w:rsidRPr="009F68E0">
        <w:t xml:space="preserve"> v vlogi dobaviteljev energentov, ker so dovolile operaterjem mobilnih omrežij, da na njihove zgradbe namestijo telekomunikacijsko opremo</w:t>
      </w:r>
      <w:r>
        <w:t xml:space="preserve"> in za ta namen porabljajo električno energijo</w:t>
      </w:r>
      <w:r w:rsidRPr="009F68E0">
        <w:t xml:space="preserve">. </w:t>
      </w:r>
      <w:r>
        <w:t>Agencija kljub temu</w:t>
      </w:r>
      <w:r w:rsidRPr="009F68E0">
        <w:t xml:space="preserve"> ni ponovno </w:t>
      </w:r>
      <w:r w:rsidRPr="004E5756">
        <w:t>pr</w:t>
      </w:r>
      <w:r>
        <w:t>o</w:t>
      </w:r>
      <w:r w:rsidRPr="004E5756">
        <w:t>učila</w:t>
      </w:r>
      <w:r w:rsidRPr="009F68E0">
        <w:t xml:space="preserve">, ali je predpisana </w:t>
      </w:r>
      <w:r w:rsidRPr="009F68E0">
        <w:lastRenderedPageBreak/>
        <w:t xml:space="preserve">oblika posredovanja podatkov res najbolj primerna in za te in druge zavezance </w:t>
      </w:r>
      <w:r>
        <w:t>za posredovanje podatkov stroškovno učinkovita</w:t>
      </w:r>
      <w:r w:rsidRPr="009F68E0">
        <w:t>.</w:t>
      </w:r>
    </w:p>
    <w:p w14:paraId="6D7E75EA" w14:textId="77777777" w:rsidR="00995498" w:rsidRDefault="00995498" w:rsidP="00995498">
      <w:pPr>
        <w:pStyle w:val="RStekst"/>
      </w:pPr>
      <w:r w:rsidRPr="00245151">
        <w:t xml:space="preserve">Predvideni rok za prvo posredovanje podatkov za nadzore in skrajni rok za vzpostavitev </w:t>
      </w:r>
      <w:r>
        <w:t>programskih</w:t>
      </w:r>
      <w:r w:rsidRPr="00245151">
        <w:t xml:space="preserve"> vmesnikov je bil 31.</w:t>
      </w:r>
      <w:r>
        <w:t> 7. </w:t>
      </w:r>
      <w:r w:rsidRPr="00245151">
        <w:t xml:space="preserve">2023. Agencija </w:t>
      </w:r>
      <w:r>
        <w:t>je večino z</w:t>
      </w:r>
      <w:r w:rsidRPr="00245151">
        <w:t>avezance</w:t>
      </w:r>
      <w:r>
        <w:t>v</w:t>
      </w:r>
      <w:r w:rsidRPr="00245151">
        <w:t xml:space="preserve"> za posredovanje podatkov </w:t>
      </w:r>
      <w:r>
        <w:t xml:space="preserve">šele </w:t>
      </w:r>
      <w:r w:rsidRPr="000D74E5">
        <w:t>4</w:t>
      </w:r>
      <w:r w:rsidRPr="00746E16">
        <w:t>0</w:t>
      </w:r>
      <w:r>
        <w:t xml:space="preserve"> dni pred rokom za prvo posredovanje podatkov obvestila o njihovih obveznostih, kljub temu da je od prejema vlog takrat minilo že </w:t>
      </w:r>
      <w:r w:rsidRPr="00245151">
        <w:t>113 dni</w:t>
      </w:r>
      <w:r>
        <w:t xml:space="preserve"> in da manjši dobavitelji brez obvestila niso mogli vedeti, da so bili v vlogah končnih odjemalcev navedeni kot dobavitelji in da imajo iz tega izhajajoče zakonske obveznosti.</w:t>
      </w:r>
    </w:p>
    <w:p w14:paraId="277E75D0" w14:textId="77777777" w:rsidR="00995498" w:rsidRPr="009F68E0" w:rsidRDefault="00995498" w:rsidP="00995498">
      <w:pPr>
        <w:pStyle w:val="RStekst"/>
      </w:pPr>
      <w:r w:rsidRPr="00130F5F">
        <w:t>Zavezanci so po podatkih agencije za posredovanje podatkov za nadzore vzpostavili 353</w:t>
      </w:r>
      <w:r>
        <w:t> programskih</w:t>
      </w:r>
      <w:r w:rsidRPr="00130F5F">
        <w:t xml:space="preserve"> vmesnikov. Agencija je podatke prevzemala v obdobju več mesecev in je od zavezancev </w:t>
      </w:r>
      <w:r>
        <w:t xml:space="preserve">za posredovanje podatkov </w:t>
      </w:r>
      <w:r w:rsidRPr="00130F5F">
        <w:t>zahtevala neprekinjen dostop do tistega dela</w:t>
      </w:r>
      <w:r>
        <w:t xml:space="preserve"> njihovega</w:t>
      </w:r>
      <w:r w:rsidRPr="00130F5F">
        <w:t xml:space="preserve"> informacijskega okolja, kjer so objavili podatke. Dostopne naslove, prijavna imena in gesla so morali</w:t>
      </w:r>
      <w:r>
        <w:t xml:space="preserve"> zavezanci </w:t>
      </w:r>
      <w:r w:rsidRPr="00130F5F">
        <w:t xml:space="preserve">poslati na skupni elektronski naslov agencije, do katerega je imelo dostop večje število zaposlenih. </w:t>
      </w:r>
      <w:r>
        <w:t>N</w:t>
      </w:r>
      <w:r w:rsidRPr="00130F5F">
        <w:t xml:space="preserve">ekateri </w:t>
      </w:r>
      <w:r>
        <w:t xml:space="preserve">dostopni </w:t>
      </w:r>
      <w:r w:rsidRPr="00130F5F">
        <w:t xml:space="preserve">podatki </w:t>
      </w:r>
      <w:r>
        <w:t xml:space="preserve">so bili z elektronskega naslova agencije posredovani tudi </w:t>
      </w:r>
      <w:r w:rsidRPr="00130F5F">
        <w:t>na zasebni elektronski naslov, vzpostavljen izven informacijskega okolja agencije. Agencija poleg tega zavezancem</w:t>
      </w:r>
      <w:r>
        <w:t xml:space="preserve"> </w:t>
      </w:r>
      <w:r w:rsidRPr="004E5756">
        <w:t>za posredovanje podatkov</w:t>
      </w:r>
      <w:r w:rsidRPr="00130F5F">
        <w:t xml:space="preserve"> ni sporočila, kdaj je prevzela zahtevane podatke. Zunanje povezave v informacijska okolja zavezancev so zato ostale aktivne več mesecev po tem, ko agencija dostopa ni več potrebovala. S tem je agencija po oceni računskega sodišča informacijska okolja zavezancev </w:t>
      </w:r>
      <w:r w:rsidRPr="004E5756">
        <w:t xml:space="preserve">za posredovanje podatkov </w:t>
      </w:r>
      <w:r w:rsidRPr="00130F5F">
        <w:t>izpostavljala povečanemu tveganju nepooblaščenih dostopov.</w:t>
      </w:r>
    </w:p>
    <w:p w14:paraId="397A844E" w14:textId="77777777" w:rsidR="00995498" w:rsidRDefault="00995498" w:rsidP="00995498">
      <w:pPr>
        <w:pStyle w:val="RStekst"/>
      </w:pPr>
      <w:r w:rsidRPr="00130F5F">
        <w:t xml:space="preserve">Agencija zavezancev </w:t>
      </w:r>
      <w:r w:rsidRPr="004E5756">
        <w:t xml:space="preserve">za posredovanje podatkov </w:t>
      </w:r>
      <w:r w:rsidRPr="00130F5F">
        <w:t xml:space="preserve">ni učinkovito podprla pri izpolnjevanju njihovih </w:t>
      </w:r>
      <w:r>
        <w:t>obveznosti</w:t>
      </w:r>
      <w:r w:rsidRPr="00130F5F">
        <w:t>, saj ni imela celovitega pregleda nad njihovimi številnimi vprašanji in prošnjami za pomoč</w:t>
      </w:r>
      <w:r>
        <w:t xml:space="preserve"> pri vzpostavitvi posredovanja podatkov</w:t>
      </w:r>
      <w:r w:rsidRPr="00130F5F">
        <w:t xml:space="preserve">. Poleg tega </w:t>
      </w:r>
      <w:r>
        <w:t>jim</w:t>
      </w:r>
      <w:r w:rsidRPr="00130F5F">
        <w:t xml:space="preserve"> </w:t>
      </w:r>
      <w:r>
        <w:t xml:space="preserve">kljub njihovim pozivom </w:t>
      </w:r>
      <w:r w:rsidRPr="00130F5F">
        <w:t xml:space="preserve">ni </w:t>
      </w:r>
      <w:r>
        <w:t xml:space="preserve">jasno in natančno </w:t>
      </w:r>
      <w:r w:rsidRPr="00130F5F">
        <w:t>razkrila, za katere njihove odjemalce energentov potrebuje podatke za nadzor</w:t>
      </w:r>
      <w:r>
        <w:t>. Namesto tega je</w:t>
      </w:r>
      <w:r w:rsidRPr="00130F5F">
        <w:t xml:space="preserve"> 27</w:t>
      </w:r>
      <w:r>
        <w:t> </w:t>
      </w:r>
      <w:r w:rsidRPr="00130F5F">
        <w:t xml:space="preserve">dni pred rokom za </w:t>
      </w:r>
      <w:r>
        <w:t xml:space="preserve">prvo </w:t>
      </w:r>
      <w:r w:rsidRPr="00130F5F">
        <w:t xml:space="preserve">posredovanje podatkov objavila davčne in matične številke odjemalcev energentov, ki so vložili vloge za pomoč po </w:t>
      </w:r>
      <w:r w:rsidRPr="004E5756">
        <w:t>Zakon</w:t>
      </w:r>
      <w:r>
        <w:t>u</w:t>
      </w:r>
      <w:r w:rsidRPr="004E5756">
        <w:t xml:space="preserve"> o pomoči gospodarstvu za omilitev posledic energetske krize</w:t>
      </w:r>
      <w:r w:rsidRPr="00130F5F">
        <w:t xml:space="preserve">, ter zavezance </w:t>
      </w:r>
      <w:r w:rsidRPr="004E5756">
        <w:t xml:space="preserve">za posredovanje podatkov </w:t>
      </w:r>
      <w:r w:rsidRPr="00130F5F">
        <w:t>pozvala, naj med njimi poiščejo svoje stranke.</w:t>
      </w:r>
    </w:p>
    <w:p w14:paraId="21CC44C3" w14:textId="2C3272B6" w:rsidR="003D1FAE" w:rsidRDefault="00995498" w:rsidP="00995498">
      <w:pPr>
        <w:pStyle w:val="RStekst"/>
      </w:pPr>
      <w:r>
        <w:t xml:space="preserve">Računsko sodišče je agenciji podalo </w:t>
      </w:r>
      <w:r w:rsidRPr="00C014A3">
        <w:rPr>
          <w:b/>
        </w:rPr>
        <w:t>priporočila</w:t>
      </w:r>
      <w:r>
        <w:t xml:space="preserve"> za izboljšanje poslovanja.</w:t>
      </w:r>
    </w:p>
    <w:p w14:paraId="5424E38D" w14:textId="77777777" w:rsidR="00C572B5" w:rsidRDefault="00C572B5" w:rsidP="003D1FAE">
      <w:pPr>
        <w:pStyle w:val="RStekst"/>
      </w:pPr>
    </w:p>
    <w:p w14:paraId="35897DF7" w14:textId="3AE832EA" w:rsidR="008629A2" w:rsidRDefault="008629A2" w:rsidP="008629A2">
      <w:pPr>
        <w:pStyle w:val="RStekst"/>
      </w:pPr>
      <w:r>
        <w:t xml:space="preserve">Ljubljana, </w:t>
      </w:r>
      <w:r w:rsidR="002C043F">
        <w:t xml:space="preserve"> 22. novembra 2024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15614C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1E31A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41FCD" w14:textId="77777777" w:rsidR="00EA09BF" w:rsidRDefault="00EA09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5EE0F" w14:textId="77777777" w:rsidR="00EA09BF" w:rsidRPr="00953FA7" w:rsidRDefault="00EA09BF" w:rsidP="00EA09BF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1" w:name="_Hlk172702987"/>
    <w:bookmarkStart w:id="2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75452B71" wp14:editId="79A08F4D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55BAAB29" w14:textId="77777777" w:rsidR="00EA09BF" w:rsidRPr="00284348" w:rsidRDefault="00EA09BF" w:rsidP="00EA09BF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1047414773">
    <w:abstractNumId w:val="18"/>
  </w:num>
  <w:num w:numId="2" w16cid:durableId="137303703">
    <w:abstractNumId w:val="11"/>
  </w:num>
  <w:num w:numId="3" w16cid:durableId="624235218">
    <w:abstractNumId w:val="19"/>
    <w:lvlOverride w:ilvl="0">
      <w:startOverride w:val="1"/>
    </w:lvlOverride>
  </w:num>
  <w:num w:numId="4" w16cid:durableId="638072050">
    <w:abstractNumId w:val="22"/>
  </w:num>
  <w:num w:numId="5" w16cid:durableId="1600019393">
    <w:abstractNumId w:val="4"/>
  </w:num>
  <w:num w:numId="6" w16cid:durableId="402801533">
    <w:abstractNumId w:val="16"/>
  </w:num>
  <w:num w:numId="7" w16cid:durableId="1494564465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2075006995">
    <w:abstractNumId w:val="12"/>
  </w:num>
  <w:num w:numId="9" w16cid:durableId="267203591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134417364">
    <w:abstractNumId w:val="10"/>
  </w:num>
  <w:num w:numId="11" w16cid:durableId="2005933525">
    <w:abstractNumId w:val="1"/>
  </w:num>
  <w:num w:numId="12" w16cid:durableId="98411839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622350272">
    <w:abstractNumId w:val="14"/>
  </w:num>
  <w:num w:numId="14" w16cid:durableId="1478037383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341668690">
    <w:abstractNumId w:val="9"/>
  </w:num>
  <w:num w:numId="16" w16cid:durableId="608044450">
    <w:abstractNumId w:val="17"/>
  </w:num>
  <w:num w:numId="17" w16cid:durableId="1090155089">
    <w:abstractNumId w:val="13"/>
  </w:num>
  <w:num w:numId="18" w16cid:durableId="762189759">
    <w:abstractNumId w:val="21"/>
  </w:num>
  <w:num w:numId="19" w16cid:durableId="1871338406">
    <w:abstractNumId w:val="2"/>
  </w:num>
  <w:num w:numId="20" w16cid:durableId="330838298">
    <w:abstractNumId w:val="7"/>
  </w:num>
  <w:num w:numId="21" w16cid:durableId="1405688023">
    <w:abstractNumId w:val="3"/>
  </w:num>
  <w:num w:numId="22" w16cid:durableId="878666134">
    <w:abstractNumId w:val="23"/>
  </w:num>
  <w:num w:numId="23" w16cid:durableId="197549124">
    <w:abstractNumId w:val="6"/>
  </w:num>
  <w:num w:numId="24" w16cid:durableId="339697226">
    <w:abstractNumId w:val="5"/>
  </w:num>
  <w:num w:numId="25" w16cid:durableId="1925918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663834">
    <w:abstractNumId w:val="0"/>
  </w:num>
  <w:num w:numId="27" w16cid:durableId="109393479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31D2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1180"/>
    <w:rsid w:val="00142BDB"/>
    <w:rsid w:val="00142EF5"/>
    <w:rsid w:val="00167C15"/>
    <w:rsid w:val="00185FC3"/>
    <w:rsid w:val="001908F7"/>
    <w:rsid w:val="001932BD"/>
    <w:rsid w:val="001C248F"/>
    <w:rsid w:val="001C4778"/>
    <w:rsid w:val="001D390E"/>
    <w:rsid w:val="001D3BBB"/>
    <w:rsid w:val="001E31A7"/>
    <w:rsid w:val="001F5F42"/>
    <w:rsid w:val="0020413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C043F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E0017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55CB5"/>
    <w:rsid w:val="00965027"/>
    <w:rsid w:val="00971399"/>
    <w:rsid w:val="00974799"/>
    <w:rsid w:val="00995498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27E54"/>
    <w:rsid w:val="00A42C6D"/>
    <w:rsid w:val="00A4494D"/>
    <w:rsid w:val="00A44B0B"/>
    <w:rsid w:val="00A654AA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38B1"/>
    <w:rsid w:val="00C572B5"/>
    <w:rsid w:val="00C64910"/>
    <w:rsid w:val="00C64EFF"/>
    <w:rsid w:val="00C7520A"/>
    <w:rsid w:val="00C941E5"/>
    <w:rsid w:val="00CA4E70"/>
    <w:rsid w:val="00CA4EAF"/>
    <w:rsid w:val="00CA7704"/>
    <w:rsid w:val="00CF02F7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079C6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09BF"/>
    <w:rsid w:val="00EA4DD2"/>
    <w:rsid w:val="00EA6EA5"/>
    <w:rsid w:val="00ED4724"/>
    <w:rsid w:val="00EF47A6"/>
    <w:rsid w:val="00EF4F00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080E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49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microsoft.com/office/2006/documentManagement/types"/>
    <ds:schemaRef ds:uri="1e3d3dff-4392-4e99-aebd-c95b4ee1afd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2024-11-22T08:34:00Z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