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623362D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A06199">
        <w:rPr>
          <w:spacing w:val="-2"/>
        </w:rPr>
        <w:br/>
      </w:r>
      <w:r w:rsidR="00A06199" w:rsidRPr="00A06199">
        <w:rPr>
          <w:spacing w:val="-2"/>
        </w:rPr>
        <w:t>Pravilnost dela poslovanja Komunalnega podjetja Ptuj d.d.</w:t>
      </w:r>
      <w:r w:rsidRPr="009176A9">
        <w:rPr>
          <w:spacing w:val="-2"/>
        </w:rPr>
        <w:t xml:space="preserve"> </w:t>
      </w:r>
    </w:p>
    <w:p w14:paraId="4A38DABE" w14:textId="77777777" w:rsidR="00A06199" w:rsidRPr="00BD2389" w:rsidRDefault="00A06199" w:rsidP="00A06199">
      <w:pPr>
        <w:pStyle w:val="RStekst"/>
        <w:rPr>
          <w:lang w:eastAsia="sl-SI"/>
        </w:rPr>
      </w:pPr>
      <w:r w:rsidRPr="00BD2389">
        <w:t>Računsko sodišče je revidiralo pravilnost dela poslovanja</w:t>
      </w:r>
      <w:r w:rsidRPr="00BD2389">
        <w:rPr>
          <w:b/>
        </w:rPr>
        <w:t xml:space="preserve"> Komunalnega podjetja Ptuj </w:t>
      </w:r>
      <w:proofErr w:type="spellStart"/>
      <w:r w:rsidRPr="00BD2389">
        <w:rPr>
          <w:b/>
        </w:rPr>
        <w:t>d.d</w:t>
      </w:r>
      <w:proofErr w:type="spellEnd"/>
      <w:r w:rsidRPr="00BD2389">
        <w:rPr>
          <w:b/>
        </w:rPr>
        <w:t>.</w:t>
      </w:r>
      <w:r w:rsidRPr="00BD2389">
        <w:t xml:space="preserve"> (v</w:t>
      </w:r>
      <w:r>
        <w:t> </w:t>
      </w:r>
      <w:r w:rsidRPr="00BD2389">
        <w:t xml:space="preserve">nadaljevanju: Komunala Ptuj) v letu 2022. Cilj revizije je bil izrek mnenja o pravilnosti poslovanja Komunale Ptuj v letu 2022 v delu, ki se nanaša </w:t>
      </w:r>
      <w:r w:rsidRPr="00BD2389">
        <w:rPr>
          <w:lang w:eastAsia="sl-SI"/>
        </w:rPr>
        <w:t>na izvajanje gospodarske javne službe oskrbe s pitno vodo, nabave blaga, materiala in storitev ter osnovnih sredstev, prejemke direktorja in zadolževanje.</w:t>
      </w:r>
    </w:p>
    <w:p w14:paraId="022C77D4" w14:textId="77777777" w:rsidR="00A06199" w:rsidRPr="00BD2389" w:rsidRDefault="00A06199" w:rsidP="00A06199">
      <w:pPr>
        <w:pStyle w:val="RStekst"/>
      </w:pPr>
      <w:r w:rsidRPr="00BD2389">
        <w:t xml:space="preserve">Računsko sodišče je o pravilnosti dela poslovanja Komunale Ptuj v letu 2022 izreklo </w:t>
      </w:r>
      <w:r w:rsidRPr="00A06199">
        <w:rPr>
          <w:rStyle w:val="RStekstBoldbarva"/>
          <w:color w:val="auto"/>
        </w:rPr>
        <w:t>mnenje s pridržkom,</w:t>
      </w:r>
      <w:r w:rsidRPr="00A06199">
        <w:t xml:space="preserve"> </w:t>
      </w:r>
      <w:r w:rsidRPr="00BD2389">
        <w:t>ker Komunala Ptuj ni poslovala v skladu s predpisi in pogodbenimi določili v naslednjih primerih:</w:t>
      </w:r>
    </w:p>
    <w:p w14:paraId="7EFDBA75" w14:textId="77777777" w:rsidR="00A06199" w:rsidRPr="00BD2389" w:rsidRDefault="00A06199" w:rsidP="00A06199">
      <w:pPr>
        <w:pStyle w:val="RSnatevanje"/>
        <w:keepLines w:val="0"/>
        <w:tabs>
          <w:tab w:val="num" w:pos="397"/>
        </w:tabs>
        <w:spacing w:after="80"/>
      </w:pPr>
      <w:r w:rsidRPr="00BD2389">
        <w:rPr>
          <w:rStyle w:val="RStekstZnak"/>
        </w:rPr>
        <w:t xml:space="preserve">na </w:t>
      </w:r>
      <w:r w:rsidRPr="00BD2389">
        <w:t>mejnih območjih 6 občin je izvajala oskrbo s pitno vodo brez pridobljene koncesije in sklenjene koncesijske pogodbe; na mejnih območjih 3 občin je na podlagi sklenjene pogodbe drugemu izvajalcu dopustila izvajanje oskrbe s pitno vodo brez pridobljene koncesije in sklenjene koncesijske pogodbe; pripravila je program oskrbe s pitno vodo, ki ni vseboval vseh predpisanih podatkov;</w:t>
      </w:r>
    </w:p>
    <w:p w14:paraId="66E70E6B" w14:textId="77777777" w:rsidR="00A06199" w:rsidRPr="00BD2389" w:rsidRDefault="00A06199" w:rsidP="00A06199">
      <w:pPr>
        <w:pStyle w:val="RSnatevanje"/>
        <w:keepLines w:val="0"/>
        <w:tabs>
          <w:tab w:val="num" w:pos="397"/>
        </w:tabs>
        <w:spacing w:after="80"/>
      </w:pPr>
      <w:r w:rsidRPr="00BD2389">
        <w:t xml:space="preserve">javno naročilo za prevzem in končno obdelavo dehidriranega blata iz centralne čistilne naprave je oddala ponudniku, ki je predložil nedopustno ponudbo (v letu 2022 izplačilo 756.412 EUR brez DDV); na podlagi prejetega računa za dobavo </w:t>
      </w:r>
      <w:proofErr w:type="spellStart"/>
      <w:r w:rsidRPr="00BD2389">
        <w:t>duktilnih</w:t>
      </w:r>
      <w:proofErr w:type="spellEnd"/>
      <w:r w:rsidRPr="00BD2389">
        <w:t xml:space="preserve"> vodovodnih cevi je plačala znesek, ki je za 1.836 EUR brez DDV presegal pogodbeno določeno obveznost;</w:t>
      </w:r>
    </w:p>
    <w:p w14:paraId="49210FA3" w14:textId="77777777" w:rsidR="00A06199" w:rsidRPr="00BD2389" w:rsidRDefault="00A06199" w:rsidP="00A06199">
      <w:pPr>
        <w:pStyle w:val="RSnatevanje"/>
        <w:keepLines w:val="0"/>
        <w:tabs>
          <w:tab w:val="num" w:pos="397"/>
        </w:tabs>
        <w:spacing w:after="80"/>
        <w:rPr>
          <w:bCs/>
        </w:rPr>
      </w:pPr>
      <w:r w:rsidRPr="00BD2389">
        <w:t>n</w:t>
      </w:r>
      <w:r w:rsidRPr="00BD2389">
        <w:rPr>
          <w:bCs/>
        </w:rPr>
        <w:t>adzorni svet v sprejetih pravilih o drugih pravicah članov poslovodstva ni določil pravil za določitev vseh drugih pravic direktorja, ki so določene v pogodbi o zaposlitvi s poslovodno osebo.</w:t>
      </w:r>
    </w:p>
    <w:p w14:paraId="1461C838" w14:textId="77777777" w:rsidR="00A06199" w:rsidRPr="00BD2389" w:rsidRDefault="00A06199" w:rsidP="00A06199">
      <w:pPr>
        <w:pStyle w:val="RStekst"/>
      </w:pPr>
      <w:r w:rsidRPr="00BD2389">
        <w:t xml:space="preserve">Komunala Ptuj med revizijskim postopkom ni odpravila vseh ugotovljenih nepravilnosti, zato je računsko sodišče </w:t>
      </w:r>
      <w:r w:rsidRPr="000B123D">
        <w:rPr>
          <w:b/>
          <w:bCs w:val="0"/>
        </w:rPr>
        <w:t>zahtevalo predložitev odzivnega poročila</w:t>
      </w:r>
      <w:r w:rsidRPr="00C04D2C">
        <w:rPr>
          <w:b/>
          <w:bCs w:val="0"/>
        </w:rPr>
        <w:t>.</w:t>
      </w:r>
      <w:r w:rsidRPr="00BD2389">
        <w:t xml:space="preserve"> Komunali Ptuj je podalo tudi priporočila za izboljšanje poslovanja.</w:t>
      </w:r>
    </w:p>
    <w:p w14:paraId="6F20509E" w14:textId="77777777" w:rsidR="00A06199" w:rsidRDefault="00A06199" w:rsidP="008629A2">
      <w:pPr>
        <w:pStyle w:val="RStekst"/>
      </w:pPr>
    </w:p>
    <w:p w14:paraId="35897DF7" w14:textId="7D3031BC" w:rsidR="008629A2" w:rsidRDefault="008629A2" w:rsidP="008629A2">
      <w:pPr>
        <w:pStyle w:val="RStekst"/>
      </w:pPr>
      <w:r>
        <w:t xml:space="preserve">Ljubljana, </w:t>
      </w:r>
      <w:r w:rsidR="00A06199">
        <w:t xml:space="preserve"> 5. decembra 2024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93358762">
    <w:abstractNumId w:val="18"/>
  </w:num>
  <w:num w:numId="2" w16cid:durableId="1382285387">
    <w:abstractNumId w:val="11"/>
  </w:num>
  <w:num w:numId="3" w16cid:durableId="701782001">
    <w:abstractNumId w:val="19"/>
    <w:lvlOverride w:ilvl="0">
      <w:startOverride w:val="1"/>
    </w:lvlOverride>
  </w:num>
  <w:num w:numId="4" w16cid:durableId="1341933283">
    <w:abstractNumId w:val="22"/>
  </w:num>
  <w:num w:numId="5" w16cid:durableId="530143840">
    <w:abstractNumId w:val="4"/>
  </w:num>
  <w:num w:numId="6" w16cid:durableId="394164286">
    <w:abstractNumId w:val="16"/>
  </w:num>
  <w:num w:numId="7" w16cid:durableId="98620955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568226197">
    <w:abstractNumId w:val="12"/>
  </w:num>
  <w:num w:numId="9" w16cid:durableId="968364074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399405180">
    <w:abstractNumId w:val="10"/>
  </w:num>
  <w:num w:numId="11" w16cid:durableId="434057500">
    <w:abstractNumId w:val="1"/>
  </w:num>
  <w:num w:numId="12" w16cid:durableId="208988178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65626442">
    <w:abstractNumId w:val="14"/>
  </w:num>
  <w:num w:numId="14" w16cid:durableId="627324045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661156814">
    <w:abstractNumId w:val="9"/>
  </w:num>
  <w:num w:numId="16" w16cid:durableId="2112965009">
    <w:abstractNumId w:val="17"/>
  </w:num>
  <w:num w:numId="17" w16cid:durableId="2011129388">
    <w:abstractNumId w:val="13"/>
  </w:num>
  <w:num w:numId="18" w16cid:durableId="2066054942">
    <w:abstractNumId w:val="21"/>
  </w:num>
  <w:num w:numId="19" w16cid:durableId="731345952">
    <w:abstractNumId w:val="2"/>
  </w:num>
  <w:num w:numId="20" w16cid:durableId="1225987965">
    <w:abstractNumId w:val="7"/>
  </w:num>
  <w:num w:numId="21" w16cid:durableId="1848910271">
    <w:abstractNumId w:val="3"/>
  </w:num>
  <w:num w:numId="22" w16cid:durableId="932670766">
    <w:abstractNumId w:val="23"/>
  </w:num>
  <w:num w:numId="23" w16cid:durableId="1839878704">
    <w:abstractNumId w:val="6"/>
  </w:num>
  <w:num w:numId="24" w16cid:durableId="794980030">
    <w:abstractNumId w:val="5"/>
  </w:num>
  <w:num w:numId="25" w16cid:durableId="14511218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432338">
    <w:abstractNumId w:val="0"/>
  </w:num>
  <w:num w:numId="27" w16cid:durableId="890072095">
    <w:abstractNumId w:val="15"/>
  </w:num>
  <w:num w:numId="28" w16cid:durableId="1557088869">
    <w:abstractNumId w:val="20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 w16cid:durableId="1665015118">
    <w:abstractNumId w:val="20"/>
    <w:lvlOverride w:ilvl="0">
      <w:lvl w:ilvl="0">
        <w:start w:val="1"/>
        <w:numFmt w:val="decimal"/>
        <w:lvlText w:val="%1."/>
        <w:lvlJc w:val="left"/>
        <w:pPr>
          <w:ind w:left="9299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078C2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B0909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06199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4D2C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www.w3.org/XML/1998/namespace"/>
    <ds:schemaRef ds:uri="1e3d3dff-4392-4e99-aebd-c95b4ee1afdd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