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2F156E92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>Povzetek revizijskega poročila</w:t>
      </w:r>
      <w:r w:rsidR="005636FF">
        <w:rPr>
          <w:spacing w:val="-2"/>
        </w:rPr>
        <w:br/>
      </w:r>
      <w:r w:rsidR="005636FF" w:rsidRPr="005636FF">
        <w:rPr>
          <w:spacing w:val="-2"/>
        </w:rPr>
        <w:t xml:space="preserve">Pravilnost dela poslovanja Javnega komunalnega podjetja Prodnik </w:t>
      </w:r>
      <w:proofErr w:type="spellStart"/>
      <w:r w:rsidR="005636FF" w:rsidRPr="005636FF">
        <w:rPr>
          <w:spacing w:val="-2"/>
        </w:rPr>
        <w:t>d.o.o</w:t>
      </w:r>
      <w:proofErr w:type="spellEnd"/>
      <w:r w:rsidR="005636FF" w:rsidRPr="005636FF">
        <w:rPr>
          <w:spacing w:val="-2"/>
        </w:rPr>
        <w:t>.</w:t>
      </w:r>
      <w:r w:rsidRPr="009176A9">
        <w:rPr>
          <w:spacing w:val="-2"/>
        </w:rPr>
        <w:t xml:space="preserve"> </w:t>
      </w:r>
    </w:p>
    <w:p w14:paraId="7171980D" w14:textId="77777777" w:rsidR="005636FF" w:rsidRPr="00511955" w:rsidRDefault="005636FF" w:rsidP="005636FF">
      <w:pPr>
        <w:pStyle w:val="RStekst"/>
        <w:rPr>
          <w:lang w:eastAsia="sl-SI"/>
        </w:rPr>
      </w:pPr>
      <w:r w:rsidRPr="00511955">
        <w:t xml:space="preserve">Računsko sodišče je revidiralo pravilnost dela poslovanja </w:t>
      </w:r>
      <w:r w:rsidRPr="00511955">
        <w:rPr>
          <w:b/>
        </w:rPr>
        <w:t>Javnega komunalnega podjetja Prodnik </w:t>
      </w:r>
      <w:proofErr w:type="spellStart"/>
      <w:r w:rsidRPr="00511955">
        <w:rPr>
          <w:b/>
        </w:rPr>
        <w:t>d.o.o</w:t>
      </w:r>
      <w:proofErr w:type="spellEnd"/>
      <w:r w:rsidRPr="00511955">
        <w:rPr>
          <w:b/>
        </w:rPr>
        <w:t>.</w:t>
      </w:r>
      <w:r w:rsidRPr="00511955">
        <w:t xml:space="preserve"> (v nadaljevanju: javno podjetje) v letu 2022. Cilj revizije je bil izrek mnenja o pravilnosti poslovanja javnega podjetja v letu 2022 v delu, ki se nanaša </w:t>
      </w:r>
      <w:r w:rsidRPr="00511955">
        <w:rPr>
          <w:lang w:eastAsia="sl-SI"/>
        </w:rPr>
        <w:t>na izvajanje gospodarske javne službe oskrbe s pitno vodo, nabave blaga, materiala in storitev ter osnovnih sredstev, prejemke direktorja in zadolževanje.</w:t>
      </w:r>
    </w:p>
    <w:p w14:paraId="2DE3150C" w14:textId="77777777" w:rsidR="005636FF" w:rsidRPr="00511955" w:rsidRDefault="005636FF" w:rsidP="005636FF">
      <w:pPr>
        <w:pStyle w:val="RStekst"/>
      </w:pPr>
      <w:r w:rsidRPr="00511955">
        <w:t xml:space="preserve">Računsko sodišče je o pravilnosti dela poslovanja javnega podjetja v letu 2022 izreklo </w:t>
      </w:r>
      <w:r w:rsidRPr="005636FF">
        <w:rPr>
          <w:rStyle w:val="RStekstBoldbarva"/>
          <w:color w:val="auto"/>
        </w:rPr>
        <w:t>mnenje s pridržkom,</w:t>
      </w:r>
      <w:r w:rsidRPr="005636FF">
        <w:t xml:space="preserve"> </w:t>
      </w:r>
      <w:r w:rsidRPr="00511955">
        <w:t>ker javno podjetje ni poslovalo v skladu s predpisi, sklepi skupščine in pogodbenimi določili v naslednjih primerih:</w:t>
      </w:r>
    </w:p>
    <w:p w14:paraId="7BAB3D9B" w14:textId="77777777" w:rsidR="005636FF" w:rsidRPr="00511955" w:rsidRDefault="005636FF" w:rsidP="0041376E">
      <w:pPr>
        <w:pStyle w:val="RSnatevanje"/>
      </w:pPr>
      <w:r w:rsidRPr="00511955">
        <w:t>opravljene posebne storitve je zaračunalo v 759 EUR prenizkem znesku; pripravilo je programe oskrbe s pitno vodo, ki niso vsebovali vseh predpisanih podatkov;</w:t>
      </w:r>
    </w:p>
    <w:p w14:paraId="736751C0" w14:textId="77777777" w:rsidR="005636FF" w:rsidRPr="00511955" w:rsidRDefault="005636FF" w:rsidP="0041376E">
      <w:pPr>
        <w:pStyle w:val="RSnatevanje"/>
      </w:pPr>
      <w:r w:rsidRPr="00511955">
        <w:t xml:space="preserve">ni dokumentiralo, da je opravilo preverjanje trga in druga opravila, na podlagi česar je ugotovilo dejanske objektivne potrebe javnega podjetja ter zagotovilo čim širši krog potencialno usposobljenih dobaviteljev; v postopku javnega naročanja je ravnalo v nasprotju z načelom transparentnosti javnega naročila; na portalu javnih naročil ni pravočasno objavilo dodatkov oziroma aneksov k pogodbam; finančna zavarovanja je pridobilo prepozno; do izpolnitve vseh pogodbenih obveznosti izvajalca ni zadržalo 11.111 EUR sredstev; </w:t>
      </w:r>
    </w:p>
    <w:p w14:paraId="5DB8290F" w14:textId="77777777" w:rsidR="005636FF" w:rsidRPr="00511955" w:rsidRDefault="005636FF" w:rsidP="0041376E">
      <w:pPr>
        <w:pStyle w:val="RSnatevanje"/>
      </w:pPr>
      <w:r w:rsidRPr="00511955">
        <w:t xml:space="preserve">merila </w:t>
      </w:r>
      <w:r w:rsidRPr="0041376E">
        <w:t>uspešnosti</w:t>
      </w:r>
      <w:r w:rsidRPr="00511955">
        <w:t xml:space="preserve"> za določitev spremenljivega prejemka direktorja niso bila opredeljena na način, da bilo možno njihovo merjenje, oziroma pričakovani rezultati niso bili določeni kvantitativno, niti ni bil določen način merjenja teh meril; nadzorni svet je z direktorjem sklenil pogodbo o zaposlitvi, v kateri je bila določena možnost izplačila odpravnine, ki ni bila skladna s</w:t>
      </w:r>
      <w:r>
        <w:t> </w:t>
      </w:r>
      <w:r w:rsidRPr="00511955">
        <w:t>predpisi.</w:t>
      </w:r>
    </w:p>
    <w:p w14:paraId="21CC44C3" w14:textId="3495E27E" w:rsidR="003D1FAE" w:rsidRDefault="005636FF" w:rsidP="003D1FAE">
      <w:pPr>
        <w:pStyle w:val="RStekst"/>
      </w:pPr>
      <w:r w:rsidRPr="00511955">
        <w:t>Javno podjetje med revizijskim postopkom ni odpravilo vseh ugotovljenih nepravilnosti, zato je računsko sodišče zahtevalo predložitev odzivnega poročila. Javnemu podjetju je podalo tudi priporočila za izboljšanje poslovanja.</w:t>
      </w:r>
    </w:p>
    <w:p w14:paraId="5424E38D" w14:textId="77777777" w:rsidR="00C572B5" w:rsidRDefault="00C572B5" w:rsidP="003D1FAE">
      <w:pPr>
        <w:pStyle w:val="RStekst"/>
      </w:pPr>
    </w:p>
    <w:p w14:paraId="35897DF7" w14:textId="0AF8F213" w:rsidR="008629A2" w:rsidRDefault="008629A2" w:rsidP="008629A2">
      <w:pPr>
        <w:pStyle w:val="RStekst"/>
      </w:pPr>
      <w:r>
        <w:t xml:space="preserve">Ljubljana, </w:t>
      </w:r>
      <w:r w:rsidR="005636FF">
        <w:t>14.</w:t>
      </w:r>
      <w:r w:rsidR="001075B6">
        <w:t xml:space="preserve"> novembra</w:t>
      </w:r>
      <w:r w:rsidR="005636FF">
        <w:t xml:space="preserve"> 2024</w:t>
      </w:r>
    </w:p>
    <w:sectPr w:rsidR="008629A2" w:rsidSect="000A0B8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415614C5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1E31A7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AEAD" w14:textId="77777777" w:rsidR="005636FF" w:rsidRPr="00953FA7" w:rsidRDefault="005636FF" w:rsidP="005636FF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bookmarkStart w:id="0" w:name="_Hlk172702987"/>
    <w:bookmarkStart w:id="1" w:name="_Hlk172702988"/>
    <w:r>
      <w:rPr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4F9F5C4D" wp14:editId="2FA4C5D9">
          <wp:simplePos x="0" y="0"/>
          <wp:positionH relativeFrom="page">
            <wp:posOffset>558165</wp:posOffset>
          </wp:positionH>
          <wp:positionV relativeFrom="topMargin">
            <wp:posOffset>615950</wp:posOffset>
          </wp:positionV>
          <wp:extent cx="3765600" cy="388800"/>
          <wp:effectExtent l="0" t="0" r="635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rs 30 glava word-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A7">
      <w:rPr>
        <w:sz w:val="16"/>
        <w:szCs w:val="16"/>
      </w:rPr>
      <w:t xml:space="preserve">Računsko sodišče Republike Slovenije </w:t>
    </w:r>
    <w:r w:rsidRPr="00953FA7">
      <w:rPr>
        <w:sz w:val="16"/>
        <w:szCs w:val="16"/>
      </w:rPr>
      <w:tab/>
      <w:t>T: 01 478 58 00</w:t>
    </w:r>
    <w:r w:rsidRPr="00953FA7">
      <w:rPr>
        <w:sz w:val="16"/>
        <w:szCs w:val="16"/>
      </w:rPr>
      <w:br/>
      <w:t>Slovenska cesta 50, 1000 Ljubljana</w:t>
    </w:r>
    <w:r w:rsidRPr="00953FA7">
      <w:rPr>
        <w:sz w:val="16"/>
        <w:szCs w:val="16"/>
      </w:rPr>
      <w:tab/>
    </w:r>
    <w:r w:rsidRPr="00953FA7">
      <w:rPr>
        <w:sz w:val="16"/>
        <w:szCs w:val="16"/>
      </w:rPr>
      <w:tab/>
      <w:t>E: sloaud@rs-rs.si</w:t>
    </w:r>
  </w:p>
  <w:p w14:paraId="72FA2CF8" w14:textId="15A3E112" w:rsidR="00AE7E48" w:rsidRPr="005636FF" w:rsidRDefault="005636FF" w:rsidP="005636FF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953FA7">
      <w:rPr>
        <w:sz w:val="16"/>
        <w:szCs w:val="16"/>
      </w:rPr>
      <w:tab/>
      <w:t>www.rs-rs.si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028672216">
    <w:abstractNumId w:val="18"/>
  </w:num>
  <w:num w:numId="2" w16cid:durableId="1910269676">
    <w:abstractNumId w:val="11"/>
  </w:num>
  <w:num w:numId="3" w16cid:durableId="579801015">
    <w:abstractNumId w:val="19"/>
    <w:lvlOverride w:ilvl="0">
      <w:startOverride w:val="1"/>
    </w:lvlOverride>
  </w:num>
  <w:num w:numId="4" w16cid:durableId="1156141617">
    <w:abstractNumId w:val="22"/>
  </w:num>
  <w:num w:numId="5" w16cid:durableId="1148589905">
    <w:abstractNumId w:val="4"/>
  </w:num>
  <w:num w:numId="6" w16cid:durableId="183056478">
    <w:abstractNumId w:val="16"/>
  </w:num>
  <w:num w:numId="7" w16cid:durableId="164269151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318534826">
    <w:abstractNumId w:val="12"/>
  </w:num>
  <w:num w:numId="9" w16cid:durableId="32728909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976179054">
    <w:abstractNumId w:val="10"/>
  </w:num>
  <w:num w:numId="11" w16cid:durableId="146554887">
    <w:abstractNumId w:val="1"/>
  </w:num>
  <w:num w:numId="12" w16cid:durableId="1513228452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1381782491">
    <w:abstractNumId w:val="14"/>
  </w:num>
  <w:num w:numId="14" w16cid:durableId="154397578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844662553">
    <w:abstractNumId w:val="9"/>
  </w:num>
  <w:num w:numId="16" w16cid:durableId="1511138087">
    <w:abstractNumId w:val="17"/>
  </w:num>
  <w:num w:numId="17" w16cid:durableId="1931696714">
    <w:abstractNumId w:val="13"/>
  </w:num>
  <w:num w:numId="18" w16cid:durableId="1476876799">
    <w:abstractNumId w:val="21"/>
  </w:num>
  <w:num w:numId="19" w16cid:durableId="483358942">
    <w:abstractNumId w:val="2"/>
  </w:num>
  <w:num w:numId="20" w16cid:durableId="953440232">
    <w:abstractNumId w:val="7"/>
  </w:num>
  <w:num w:numId="21" w16cid:durableId="1757363137">
    <w:abstractNumId w:val="3"/>
  </w:num>
  <w:num w:numId="22" w16cid:durableId="1330936959">
    <w:abstractNumId w:val="23"/>
  </w:num>
  <w:num w:numId="23" w16cid:durableId="1236547960">
    <w:abstractNumId w:val="6"/>
  </w:num>
  <w:num w:numId="24" w16cid:durableId="1165823350">
    <w:abstractNumId w:val="5"/>
  </w:num>
  <w:num w:numId="25" w16cid:durableId="654726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5598244">
    <w:abstractNumId w:val="0"/>
  </w:num>
  <w:num w:numId="27" w16cid:durableId="98100875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075B6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1376E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636FF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802FB0"/>
    <w:rsid w:val="00834D07"/>
    <w:rsid w:val="008520C1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07E64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0E71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930A93A"/>
  <w15:docId w15:val="{2F4F6DB9-1926-4885-97CB-B38A1AB7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uiPriority w:val="1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e3d3dff-4392-4e99-aebd-c95b4ee1afd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Klara Jereb</cp:lastModifiedBy>
  <cp:revision>4</cp:revision>
  <dcterms:created xsi:type="dcterms:W3CDTF">2021-02-19T09:54:00Z</dcterms:created>
  <dcterms:modified xsi:type="dcterms:W3CDTF">2024-11-13T13:46:00Z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