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300019E" w:rsidR="008629A2" w:rsidRPr="00F4569E" w:rsidRDefault="008629A2" w:rsidP="008629A2">
      <w:pPr>
        <w:pStyle w:val="RSGLAVNINASLOV"/>
        <w:rPr>
          <w:spacing w:val="-2"/>
        </w:rPr>
      </w:pPr>
      <w:r w:rsidRPr="009176A9">
        <w:rPr>
          <w:spacing w:val="-2"/>
        </w:rPr>
        <w:t>Povzetek revizijskega poročila</w:t>
      </w:r>
      <w:bookmarkStart w:id="0" w:name="_GoBack"/>
      <w:bookmarkEnd w:id="0"/>
      <w:r w:rsidR="00C36D57">
        <w:rPr>
          <w:spacing w:val="-2"/>
        </w:rPr>
        <w:br/>
      </w:r>
      <w:r w:rsidR="00C36D57" w:rsidRPr="00C36D57">
        <w:rPr>
          <w:spacing w:val="-2"/>
        </w:rPr>
        <w:t>Predlog zaključnega računa proračuna Republike Slovenije za leto 2023</w:t>
      </w:r>
    </w:p>
    <w:p w14:paraId="277AD93B" w14:textId="77777777" w:rsidR="00C36D57" w:rsidRPr="00692722" w:rsidRDefault="00C36D57" w:rsidP="00C36D57">
      <w:pPr>
        <w:pStyle w:val="RStekst"/>
      </w:pPr>
      <w:r w:rsidRPr="00692722">
        <w:t xml:space="preserve">Računsko sodišče je revidiralo </w:t>
      </w:r>
      <w:r w:rsidRPr="00692722">
        <w:rPr>
          <w:b/>
        </w:rPr>
        <w:t>predlog zaključnega računa proračuna Republike Slovenije za leto 2023 in pravilnost izvršitve državnega proračuna za leto 2023.</w:t>
      </w:r>
    </w:p>
    <w:p w14:paraId="2EEC68FA" w14:textId="77777777" w:rsidR="00C36D57" w:rsidRPr="00692722" w:rsidRDefault="00C36D57" w:rsidP="00C36D57">
      <w:pPr>
        <w:pStyle w:val="RStekst"/>
      </w:pPr>
      <w:r w:rsidRPr="00692722">
        <w:t>Cilja revizije sta bila izrek mnenja o predlogu splošnega dela predloga zaključnega računa (obsega</w:t>
      </w:r>
      <w:r>
        <w:t> </w:t>
      </w:r>
      <w:r w:rsidRPr="00692722">
        <w:t>bilanco prihodkov in odhodkov, račun finančnih terjatev in naložb ter račun financiranja) in izrek mnenja o pravilnosti izvršitve državnega proračuna za leto 2023.</w:t>
      </w:r>
    </w:p>
    <w:p w14:paraId="3E841B2B" w14:textId="77777777" w:rsidR="00C36D57" w:rsidRPr="00692722" w:rsidRDefault="00C36D57" w:rsidP="00C36D57">
      <w:pPr>
        <w:pStyle w:val="RStekst"/>
      </w:pPr>
      <w:r w:rsidRPr="00692722">
        <w:t>Revidirani uporabniki javnih sredstev so bili Vlada Republike Slovenije, posamezna ministrstva ter upravna enota.</w:t>
      </w:r>
    </w:p>
    <w:p w14:paraId="6D1328BB" w14:textId="52EA21A9" w:rsidR="00C36D57" w:rsidRPr="00692722" w:rsidRDefault="00C36D57" w:rsidP="00C36D57">
      <w:pPr>
        <w:pStyle w:val="RStekst"/>
      </w:pPr>
      <w:r w:rsidRPr="00692722">
        <w:t xml:space="preserve">Računsko sodišče je o predlogu splošnega dela zaključnega računa za leto 2023 izreklo </w:t>
      </w:r>
      <w:r w:rsidRPr="00E55798">
        <w:rPr>
          <w:rStyle w:val="RStekstBoldbarva"/>
          <w:rFonts w:eastAsiaTheme="minorEastAsia"/>
          <w:color w:val="auto"/>
        </w:rPr>
        <w:t>mnenje s</w:t>
      </w:r>
      <w:r w:rsidR="00A96743">
        <w:rPr>
          <w:rStyle w:val="RStekstBoldbarva"/>
          <w:rFonts w:eastAsiaTheme="minorEastAsia"/>
          <w:color w:val="auto"/>
        </w:rPr>
        <w:t> </w:t>
      </w:r>
      <w:r w:rsidRPr="00E55798">
        <w:rPr>
          <w:rStyle w:val="RStekstBoldbarva"/>
          <w:rFonts w:eastAsiaTheme="minorEastAsia"/>
          <w:color w:val="auto"/>
        </w:rPr>
        <w:t>pridržkom,</w:t>
      </w:r>
      <w:r w:rsidRPr="00E55798">
        <w:t xml:space="preserve"> </w:t>
      </w:r>
      <w:r w:rsidRPr="00692722">
        <w:t>ker so bili prejemki finančnih terjatev in naložb izkazani kot vračilo posojila namesto kot vračilo naknadnih vplačil kapitala v znesku 342.000.000 EUR.</w:t>
      </w:r>
    </w:p>
    <w:p w14:paraId="130E89DE" w14:textId="77777777" w:rsidR="00C36D57" w:rsidRPr="00692722" w:rsidRDefault="00C36D57" w:rsidP="00C36D57">
      <w:pPr>
        <w:pStyle w:val="RStekst"/>
      </w:pPr>
      <w:r w:rsidRPr="00692722">
        <w:t>Računsko sodišče je opozorilo na izjeme od okvira računovodskega poročanja, ki je predpisan z Zakonom o javnih financah in Zakonom o računovodstvu. Pri računovodskem obravnavanju poslovnih dogodkov, ki se nanašajo na izvrševanje državnega proračuna, so namreč z različnimi zakoni predpisane izjeme oziroma odmiki od okvira računovodskega poročanja, tako da so določeni poslovni dogodki izvzeti od splošnega načela popolnosti izkazovanja prejemkov in izdatkov. Navedeno povzroča pomembna odstopanja predstavitev in razkritij od okvira računovodskega poročanja.</w:t>
      </w:r>
    </w:p>
    <w:p w14:paraId="2FCBCDE9" w14:textId="77777777" w:rsidR="00C36D57" w:rsidRPr="00692722" w:rsidRDefault="00C36D57" w:rsidP="00C36D57">
      <w:pPr>
        <w:pStyle w:val="RStekst"/>
        <w:rPr>
          <w:highlight w:val="lightGray"/>
        </w:rPr>
      </w:pPr>
      <w:r w:rsidRPr="00692722">
        <w:t xml:space="preserve">Računsko sodišče je na podlagi ugotovitev o pravilnosti izvršitve državnega proračuna za leto 2023 v delu, ki se nanaša na vladne proračunske uporabnike, izreklo </w:t>
      </w:r>
      <w:r w:rsidRPr="00E55798">
        <w:rPr>
          <w:rFonts w:ascii="Cambria" w:eastAsiaTheme="minorEastAsia" w:hAnsi="Cambria"/>
          <w:b/>
        </w:rPr>
        <w:t xml:space="preserve">mnenje s pridržkom. </w:t>
      </w:r>
      <w:r w:rsidRPr="00692722">
        <w:t>Ugotovljena neskladja s predpisi so navedena v nadaljevanju.</w:t>
      </w:r>
    </w:p>
    <w:p w14:paraId="38A72954" w14:textId="77777777" w:rsidR="00C36D57" w:rsidRPr="00692722" w:rsidRDefault="00C36D57" w:rsidP="00C36D57">
      <w:pPr>
        <w:pStyle w:val="RStekst"/>
        <w:rPr>
          <w:highlight w:val="lightGray"/>
        </w:rPr>
      </w:pPr>
      <w:r w:rsidRPr="00692722">
        <w:t>Neskladja s predpisi o plačah in drugih odhodkih zaposlenih:</w:t>
      </w:r>
    </w:p>
    <w:p w14:paraId="7FE95281" w14:textId="77777777" w:rsidR="00C36D57" w:rsidRPr="00692722" w:rsidRDefault="00C36D57" w:rsidP="00C36D57">
      <w:pPr>
        <w:pStyle w:val="RSnatevanje"/>
        <w:keepLines w:val="0"/>
        <w:numPr>
          <w:ilvl w:val="0"/>
          <w:numId w:val="28"/>
        </w:numPr>
        <w:spacing w:after="80"/>
      </w:pPr>
      <w:r w:rsidRPr="00692722">
        <w:t>Zakon o delovnih razmerjih: dodatki za delo preko polnega delovnega časa javnim uslužbencem niso bili obračunani in izplačani na podlagi efektivnega delovnega časa;</w:t>
      </w:r>
    </w:p>
    <w:p w14:paraId="350F1AA5" w14:textId="77777777" w:rsidR="00C36D57" w:rsidRPr="00692722" w:rsidRDefault="00C36D57" w:rsidP="00C36D57">
      <w:pPr>
        <w:pStyle w:val="RSnatevanje"/>
        <w:keepLines w:val="0"/>
        <w:numPr>
          <w:ilvl w:val="0"/>
          <w:numId w:val="28"/>
        </w:numPr>
        <w:spacing w:after="80"/>
      </w:pPr>
      <w:r w:rsidRPr="00692722">
        <w:t>Zakon o carinski službi: javnemu uslužbencu je bil nepravilno obračunan in izplačan dodatek za stalnost;</w:t>
      </w:r>
    </w:p>
    <w:p w14:paraId="1F7E087B" w14:textId="77777777" w:rsidR="00C36D57" w:rsidRPr="00692722" w:rsidRDefault="00C36D57" w:rsidP="00C36D57">
      <w:pPr>
        <w:pStyle w:val="RSnatevanje"/>
        <w:keepLines w:val="0"/>
        <w:numPr>
          <w:ilvl w:val="0"/>
          <w:numId w:val="28"/>
        </w:numPr>
        <w:spacing w:after="80"/>
        <w:rPr>
          <w:lang w:eastAsia="sl-SI"/>
        </w:rPr>
      </w:pPr>
      <w:r w:rsidRPr="00692722">
        <w:rPr>
          <w:lang w:eastAsia="sl-SI"/>
        </w:rPr>
        <w:t>Kolektivna pogodb</w:t>
      </w:r>
      <w:r>
        <w:rPr>
          <w:lang w:eastAsia="sl-SI"/>
        </w:rPr>
        <w:t>a</w:t>
      </w:r>
      <w:r w:rsidRPr="00692722">
        <w:rPr>
          <w:lang w:eastAsia="sl-SI"/>
        </w:rPr>
        <w:t xml:space="preserve"> za javni sektor: </w:t>
      </w:r>
      <w:r w:rsidRPr="00692722">
        <w:t>javnim uslužbencem so bili nepravilno obračunani in izplačani dodatki za delovno dobo, izmensko delo in neenakomeren delovni čas;</w:t>
      </w:r>
    </w:p>
    <w:p w14:paraId="411816AC" w14:textId="77777777" w:rsidR="00C36D57" w:rsidRPr="00692722" w:rsidRDefault="00C36D57" w:rsidP="00C36D57">
      <w:pPr>
        <w:pStyle w:val="RSnatevanje"/>
        <w:keepLines w:val="0"/>
        <w:numPr>
          <w:ilvl w:val="0"/>
          <w:numId w:val="28"/>
        </w:numPr>
        <w:spacing w:after="80"/>
        <w:rPr>
          <w:lang w:eastAsia="sl-SI"/>
        </w:rPr>
      </w:pPr>
      <w:r w:rsidRPr="00692722">
        <w:t xml:space="preserve">Zakon o </w:t>
      </w:r>
      <w:r w:rsidRPr="0059515B">
        <w:t>sistemu</w:t>
      </w:r>
      <w:r w:rsidRPr="00692722">
        <w:t xml:space="preserve"> plač v javnem sektorju: </w:t>
      </w:r>
      <w:r w:rsidRPr="00692722">
        <w:rPr>
          <w:lang w:eastAsia="sl-SI"/>
        </w:rPr>
        <w:t xml:space="preserve">javnim uslužbencem je bil nepravilno </w:t>
      </w:r>
      <w:r w:rsidRPr="00692722">
        <w:t>obračunan</w:t>
      </w:r>
      <w:r w:rsidRPr="00692722">
        <w:rPr>
          <w:lang w:eastAsia="sl-SI"/>
        </w:rPr>
        <w:t xml:space="preserve"> in izplačan dodatek za nočno delo in za neenakomerno razporejen delovni čas;</w:t>
      </w:r>
    </w:p>
    <w:p w14:paraId="542AA2F8" w14:textId="77777777" w:rsidR="00C36D57" w:rsidRPr="00692722" w:rsidRDefault="00C36D57" w:rsidP="00C36D57">
      <w:pPr>
        <w:pStyle w:val="RSnatevanje"/>
        <w:keepLines w:val="0"/>
        <w:numPr>
          <w:ilvl w:val="0"/>
          <w:numId w:val="28"/>
        </w:numPr>
        <w:spacing w:after="80"/>
        <w:rPr>
          <w:lang w:eastAsia="sl-SI"/>
        </w:rPr>
      </w:pPr>
      <w:r w:rsidRPr="00692722">
        <w:rPr>
          <w:lang w:eastAsia="sl-SI"/>
        </w:rPr>
        <w:lastRenderedPageBreak/>
        <w:t xml:space="preserve">Zakon o javnih uslužbencih: javni uslužbenec je bil napoten na usposabljanje več kot </w:t>
      </w:r>
      <w:r>
        <w:rPr>
          <w:lang w:eastAsia="sl-SI"/>
        </w:rPr>
        <w:t>3 </w:t>
      </w:r>
      <w:r w:rsidRPr="00692722">
        <w:rPr>
          <w:lang w:eastAsia="sl-SI"/>
        </w:rPr>
        <w:t>leta prepozno;</w:t>
      </w:r>
    </w:p>
    <w:p w14:paraId="02BADFCF" w14:textId="77777777" w:rsidR="00C36D57" w:rsidRPr="00692722" w:rsidRDefault="00C36D57" w:rsidP="00C36D57">
      <w:pPr>
        <w:pStyle w:val="RSnatevanje"/>
        <w:keepLines w:val="0"/>
        <w:numPr>
          <w:ilvl w:val="0"/>
          <w:numId w:val="28"/>
        </w:numPr>
        <w:spacing w:after="80"/>
        <w:rPr>
          <w:lang w:eastAsia="sl-SI"/>
        </w:rPr>
      </w:pPr>
      <w:r w:rsidRPr="00692722">
        <w:rPr>
          <w:lang w:eastAsia="sl-SI"/>
        </w:rPr>
        <w:t>Zakon o evidencah na področju dela in socialne varnosti:</w:t>
      </w:r>
      <w:r w:rsidRPr="00692722">
        <w:t xml:space="preserve"> v evidenci o dnevni izrabi delovnega časa ni evidentiran</w:t>
      </w:r>
      <w:r>
        <w:t>a</w:t>
      </w:r>
      <w:r w:rsidRPr="00692722">
        <w:t xml:space="preserve"> praviln</w:t>
      </w:r>
      <w:r>
        <w:t>a</w:t>
      </w:r>
      <w:r w:rsidRPr="00692722">
        <w:t xml:space="preserve"> in popoln</w:t>
      </w:r>
      <w:r>
        <w:t>a</w:t>
      </w:r>
      <w:r w:rsidRPr="00692722">
        <w:t xml:space="preserve"> opravljen</w:t>
      </w:r>
      <w:r>
        <w:t>a</w:t>
      </w:r>
      <w:r w:rsidRPr="00692722">
        <w:t xml:space="preserve"> delovn</w:t>
      </w:r>
      <w:r>
        <w:t>a</w:t>
      </w:r>
      <w:r w:rsidRPr="00692722">
        <w:t xml:space="preserve"> obveznost javnih uslužbencev</w:t>
      </w:r>
      <w:r w:rsidRPr="00692722">
        <w:rPr>
          <w:lang w:eastAsia="sl-SI"/>
        </w:rPr>
        <w:t>;</w:t>
      </w:r>
    </w:p>
    <w:p w14:paraId="5628C843" w14:textId="77777777" w:rsidR="00C36D57" w:rsidRPr="00692722" w:rsidRDefault="00C36D57" w:rsidP="00C36D57">
      <w:pPr>
        <w:pStyle w:val="RSnatevanje"/>
        <w:keepLines w:val="0"/>
        <w:numPr>
          <w:ilvl w:val="0"/>
          <w:numId w:val="28"/>
        </w:numPr>
        <w:spacing w:after="80"/>
        <w:rPr>
          <w:lang w:eastAsia="sl-SI"/>
        </w:rPr>
      </w:pPr>
      <w:r w:rsidRPr="00692722">
        <w:rPr>
          <w:lang w:eastAsia="sl-SI"/>
        </w:rPr>
        <w:t>Uredba</w:t>
      </w:r>
      <w:r w:rsidRPr="00692722">
        <w:t xml:space="preserve"> o delovni uspešnosti iz naslova povečanega obsega dela za javne uslužbence:</w:t>
      </w:r>
      <w:r w:rsidRPr="00692722">
        <w:rPr>
          <w:lang w:eastAsia="sl-SI"/>
        </w:rPr>
        <w:t xml:space="preserve"> javni uslužbenki pred izplačilom delovne uspešnosti iz naslova povečanega obsega dela ni bil izdan sklep</w:t>
      </w:r>
      <w:r>
        <w:rPr>
          <w:lang w:eastAsia="sl-SI"/>
        </w:rPr>
        <w:t>.</w:t>
      </w:r>
    </w:p>
    <w:p w14:paraId="759797CB" w14:textId="77777777" w:rsidR="00C36D57" w:rsidRPr="00692722" w:rsidRDefault="00C36D57" w:rsidP="00C36D57">
      <w:pPr>
        <w:pStyle w:val="RStekst"/>
        <w:rPr>
          <w:lang w:eastAsia="sl-SI"/>
        </w:rPr>
      </w:pPr>
      <w:r w:rsidRPr="00692722">
        <w:t>Neskladja s predpisi pri prevzemanju in plačevanju obveznosti iz proračuna:</w:t>
      </w:r>
    </w:p>
    <w:p w14:paraId="53A73557" w14:textId="77777777" w:rsidR="00C36D57" w:rsidRPr="00692722" w:rsidRDefault="00C36D57" w:rsidP="00C36D57">
      <w:pPr>
        <w:pStyle w:val="RSnatevanje"/>
        <w:keepLines w:val="0"/>
        <w:numPr>
          <w:ilvl w:val="0"/>
          <w:numId w:val="28"/>
        </w:numPr>
        <w:spacing w:after="80"/>
      </w:pPr>
      <w:r w:rsidRPr="00692722">
        <w:t xml:space="preserve">Zakon o javnih financah: obveznosti niso bile prevzete s pisno pogodbo, pred izplačili nista bila preverjena pravni temelj in </w:t>
      </w:r>
      <w:r w:rsidRPr="0059515B">
        <w:t>višina</w:t>
      </w:r>
      <w:r w:rsidRPr="00692722">
        <w:t xml:space="preserve"> obveznosti; nista bili upoštevani načeli učinkovitosti in gospodarnosti, nakup poslovne stavbe za potrebe pravosodnih organov ni bil ustrezno načrtovan v državnem proračunu, plačila, ki so izhajala iz prevzetih obveznosti, niso bila vključena v proračun leta, v katerem zapadejo;</w:t>
      </w:r>
    </w:p>
    <w:p w14:paraId="50B62857" w14:textId="77777777" w:rsidR="00C36D57" w:rsidRPr="00692722" w:rsidRDefault="00C36D57" w:rsidP="00C36D57">
      <w:pPr>
        <w:pStyle w:val="RSnatevanje"/>
        <w:keepLines w:val="0"/>
        <w:numPr>
          <w:ilvl w:val="0"/>
          <w:numId w:val="28"/>
        </w:numPr>
        <w:spacing w:after="80"/>
      </w:pPr>
      <w:r w:rsidRPr="00692722">
        <w:t>Zakon o državnem odvetništvu: pred sklenitvijo pogodbe za nakup poslovnih prostorov ni bilo pridobljeno mnenje Državnega odvetništva Republike Slovenije;</w:t>
      </w:r>
    </w:p>
    <w:p w14:paraId="7736745C" w14:textId="77777777" w:rsidR="00C36D57" w:rsidRPr="00692722" w:rsidRDefault="00C36D57" w:rsidP="00C36D57">
      <w:pPr>
        <w:pStyle w:val="RSnatevanje"/>
        <w:keepLines w:val="0"/>
        <w:numPr>
          <w:ilvl w:val="0"/>
          <w:numId w:val="28"/>
        </w:numPr>
        <w:spacing w:after="80"/>
      </w:pPr>
      <w:r w:rsidRPr="00692722">
        <w:t>Zakon o spodbujanju digitalne vključenosti: Vlada Republike Slovenije ni sprejela predpisa, v katerem bi uredila upravljanje mehanizma in način uresničevanja pravice do izposoje računalniške opreme;</w:t>
      </w:r>
    </w:p>
    <w:p w14:paraId="7F1AD6B1" w14:textId="77777777" w:rsidR="00C36D57" w:rsidRPr="00692722" w:rsidRDefault="00C36D57" w:rsidP="00C36D57">
      <w:pPr>
        <w:pStyle w:val="RSnatevanje"/>
        <w:keepLines w:val="0"/>
        <w:numPr>
          <w:ilvl w:val="0"/>
          <w:numId w:val="28"/>
        </w:numPr>
        <w:spacing w:after="80"/>
      </w:pPr>
      <w:r w:rsidRPr="00692722">
        <w:t>Uredba o enotni metodologiji za pripravo in obravnavo investicijske dokumentacije na področju javnih financ: v dokumente investicijskega načrtovanja niso bili vključeni ocenjeni stroški prenove;</w:t>
      </w:r>
    </w:p>
    <w:p w14:paraId="43AB4C72" w14:textId="77777777" w:rsidR="00C36D57" w:rsidRPr="00692722" w:rsidRDefault="00C36D57" w:rsidP="00C36D57">
      <w:pPr>
        <w:pStyle w:val="RSnatevanje"/>
        <w:keepLines w:val="0"/>
        <w:numPr>
          <w:ilvl w:val="0"/>
          <w:numId w:val="28"/>
        </w:numPr>
        <w:spacing w:after="80"/>
        <w:rPr>
          <w:lang w:eastAsia="sl-SI"/>
        </w:rPr>
      </w:pPr>
      <w:r w:rsidRPr="00692722">
        <w:rPr>
          <w:lang w:eastAsia="sl-SI"/>
        </w:rPr>
        <w:t xml:space="preserve">Pravilnik o postopkih za izvrševanje proračuna Republike Slovenije: </w:t>
      </w:r>
      <w:r w:rsidRPr="00692722">
        <w:t xml:space="preserve">k vlogi za uvrstitev novega projekta v proračun je bilo podano pozitivno mnenje, čeprav za to niso bili izpolnjeni pogoji, </w:t>
      </w:r>
      <w:proofErr w:type="spellStart"/>
      <w:r w:rsidRPr="00692722">
        <w:rPr>
          <w:lang w:eastAsia="sl-SI"/>
        </w:rPr>
        <w:t>predobremenitve</w:t>
      </w:r>
      <w:proofErr w:type="spellEnd"/>
      <w:r w:rsidRPr="00692722">
        <w:rPr>
          <w:lang w:eastAsia="sl-SI"/>
        </w:rPr>
        <w:t xml:space="preserve"> niso odražale prevzetih obveznosti po pogodbi in aneksih, na obrazcu FEP niso bili vpisani točni datumi predvidenih plačil obveznosti v proračunskem </w:t>
      </w:r>
      <w:r w:rsidRPr="00692722">
        <w:rPr>
          <w:rFonts w:ascii="Cambria" w:hAnsi="Cambria"/>
          <w:lang w:eastAsia="sl-SI"/>
        </w:rPr>
        <w:t>letu</w:t>
      </w:r>
      <w:r w:rsidRPr="00692722">
        <w:t>.</w:t>
      </w:r>
    </w:p>
    <w:p w14:paraId="1DA08CE7" w14:textId="77777777" w:rsidR="00C36D57" w:rsidRPr="00692722" w:rsidRDefault="00C36D57" w:rsidP="00C36D57">
      <w:pPr>
        <w:pStyle w:val="RStekst"/>
      </w:pPr>
      <w:r w:rsidRPr="00692722">
        <w:t xml:space="preserve">Neskladja s predpisi pri oblikovanju sredstev splošne proračunske rezervacije in prerazporejanju: </w:t>
      </w:r>
    </w:p>
    <w:p w14:paraId="334A4B71" w14:textId="77777777" w:rsidR="00C36D57" w:rsidRPr="005405FC" w:rsidRDefault="00C36D57" w:rsidP="00C36D57">
      <w:pPr>
        <w:pStyle w:val="RSnatevanje"/>
        <w:keepLines w:val="0"/>
        <w:numPr>
          <w:ilvl w:val="0"/>
          <w:numId w:val="28"/>
        </w:numPr>
        <w:spacing w:after="80"/>
      </w:pPr>
      <w:r w:rsidRPr="005405FC">
        <w:t xml:space="preserve">Zakon o javnih financah: sredstva se niso izločala v rezervo vsak mesec, </w:t>
      </w:r>
      <w:r w:rsidRPr="005405FC" w:rsidDel="00091E9C">
        <w:t>prerazporeditve iz splošne proračunske rezervacije na postavke posameznih neposrednih uporabnikov niso predstavljale nepredvidenih namenov ali namenov, za katere sredstva niso bila zagotovljena v zadostnem obsegu, ker jih pri pripravi proračuna ni bilo mogoče načrtovati</w:t>
      </w:r>
      <w:r w:rsidRPr="005405FC">
        <w:t>;</w:t>
      </w:r>
    </w:p>
    <w:p w14:paraId="443CF981" w14:textId="77777777" w:rsidR="00C36D57" w:rsidRPr="00692722" w:rsidRDefault="00C36D57" w:rsidP="00C36D57">
      <w:pPr>
        <w:pStyle w:val="RSnatevanje"/>
        <w:keepLines w:val="0"/>
        <w:numPr>
          <w:ilvl w:val="0"/>
          <w:numId w:val="28"/>
        </w:numPr>
        <w:spacing w:after="80"/>
        <w:rPr>
          <w:lang w:eastAsia="sl-SI"/>
        </w:rPr>
      </w:pPr>
      <w:r w:rsidRPr="00692722">
        <w:t>Zakon o odpravi posledic naravnih nesreč</w:t>
      </w:r>
      <w:r w:rsidRPr="00692722">
        <w:rPr>
          <w:lang w:eastAsia="sl-SI"/>
        </w:rPr>
        <w:t>: program odprave posledic nesreče je bil Vladi Republike Slovenije prepozno predložen v obravnavo, o uporabi sredstev proračunske rezerve v znesku, ki je presegel 2 % razpoložljivih sredstev rezerve, ni odločal Državni zbor Republike Slovenije s posebnim zakonom;</w:t>
      </w:r>
    </w:p>
    <w:p w14:paraId="723CA054" w14:textId="77777777" w:rsidR="00C36D57" w:rsidRPr="00692722" w:rsidRDefault="00C36D57" w:rsidP="00C36D57">
      <w:pPr>
        <w:pStyle w:val="RSnatevanje"/>
        <w:keepLines w:val="0"/>
        <w:numPr>
          <w:ilvl w:val="0"/>
          <w:numId w:val="28"/>
        </w:numPr>
        <w:spacing w:after="80"/>
        <w:rPr>
          <w:lang w:eastAsia="sl-SI"/>
        </w:rPr>
      </w:pPr>
      <w:r w:rsidRPr="00692722">
        <w:rPr>
          <w:lang w:eastAsia="sl-SI"/>
        </w:rPr>
        <w:t xml:space="preserve">Zakon o varstvu pred naravnimi in drugimi nesrečami: sredstva, ki so bila zagotovljena s sklepom </w:t>
      </w:r>
      <w:r>
        <w:rPr>
          <w:lang w:eastAsia="sl-SI"/>
        </w:rPr>
        <w:t>V</w:t>
      </w:r>
      <w:r w:rsidRPr="00692722">
        <w:rPr>
          <w:lang w:eastAsia="sl-SI"/>
        </w:rPr>
        <w:t>lade</w:t>
      </w:r>
      <w:r>
        <w:rPr>
          <w:lang w:eastAsia="sl-SI"/>
        </w:rPr>
        <w:t xml:space="preserve"> Republike Slovenije</w:t>
      </w:r>
      <w:r w:rsidRPr="00692722">
        <w:rPr>
          <w:lang w:eastAsia="sl-SI"/>
        </w:rPr>
        <w:t xml:space="preserve"> </w:t>
      </w:r>
      <w:r w:rsidRPr="00692722">
        <w:t>za izvedbo interventnih ukrepov na cestni infrastrukturi, ki so potrebni zaradi odprave posledic neurij v času do začetka avgusta 2023, niso bila v celoti porabljena za ta namen</w:t>
      </w:r>
      <w:r>
        <w:rPr>
          <w:lang w:eastAsia="sl-SI"/>
        </w:rPr>
        <w:t>.</w:t>
      </w:r>
    </w:p>
    <w:p w14:paraId="1ADFA7E2" w14:textId="77777777" w:rsidR="00C36D57" w:rsidRPr="00692722" w:rsidRDefault="00C36D57" w:rsidP="00C36D57">
      <w:pPr>
        <w:widowControl/>
        <w:adjustRightInd w:val="0"/>
        <w:snapToGrid w:val="0"/>
        <w:spacing w:before="0" w:line="280" w:lineRule="exact"/>
        <w:ind w:left="397"/>
        <w:contextualSpacing w:val="0"/>
        <w:jc w:val="both"/>
        <w:rPr>
          <w:rFonts w:asciiTheme="minorHAnsi" w:hAnsiTheme="minorHAnsi"/>
          <w:sz w:val="20"/>
          <w:highlight w:val="lightGray"/>
        </w:rPr>
      </w:pPr>
    </w:p>
    <w:p w14:paraId="11385C33" w14:textId="77777777" w:rsidR="00C36D57" w:rsidRPr="00692722" w:rsidRDefault="00C36D57" w:rsidP="00CC08DD">
      <w:pPr>
        <w:pStyle w:val="RStekst"/>
        <w:keepNext/>
        <w:keepLines/>
      </w:pPr>
      <w:r w:rsidRPr="00692722">
        <w:lastRenderedPageBreak/>
        <w:t>Neskladja s predpisi o oddaji javnih naročil</w:t>
      </w:r>
      <w:r>
        <w:t>, razpisno dokumentacijo in pogodbami</w:t>
      </w:r>
      <w:r w:rsidRPr="00692722">
        <w:t>:</w:t>
      </w:r>
    </w:p>
    <w:p w14:paraId="3A35D4DD" w14:textId="77777777" w:rsidR="00C36D57" w:rsidRPr="00692722" w:rsidRDefault="00C36D57" w:rsidP="00CC08DD">
      <w:pPr>
        <w:pStyle w:val="RSnatevanje"/>
        <w:keepNext/>
        <w:numPr>
          <w:ilvl w:val="0"/>
          <w:numId w:val="28"/>
        </w:numPr>
        <w:spacing w:after="80"/>
      </w:pPr>
      <w:r w:rsidRPr="00692722">
        <w:t>Zakon o javnem naročanju:</w:t>
      </w:r>
      <w:r>
        <w:t xml:space="preserve"> </w:t>
      </w:r>
      <w:r w:rsidRPr="00692722">
        <w:t>izbran je bil neustrezen postopek oddaje javnega naročila, niso bila izvršena neposredna plačila računov podizvajalc</w:t>
      </w:r>
      <w:r>
        <w:t>u,</w:t>
      </w:r>
      <w:r w:rsidRPr="00692722">
        <w:t xml:space="preserve"> kljub temu da so bili za to izpolnjeni pogoji, na portalu javnih naročil niso bila objavljena obvestila o spremembah pogodb</w:t>
      </w:r>
      <w:r w:rsidRPr="00692722">
        <w:rPr>
          <w:lang w:eastAsia="sl-SI"/>
        </w:rPr>
        <w:t>;</w:t>
      </w:r>
    </w:p>
    <w:p w14:paraId="3E33EEF0" w14:textId="77777777" w:rsidR="00C36D57" w:rsidRPr="00692722" w:rsidRDefault="00C36D57" w:rsidP="00C36D57">
      <w:pPr>
        <w:pStyle w:val="RSnatevanje"/>
        <w:keepLines w:val="0"/>
        <w:numPr>
          <w:ilvl w:val="0"/>
          <w:numId w:val="28"/>
        </w:numPr>
        <w:spacing w:after="80"/>
      </w:pPr>
      <w:r w:rsidRPr="00692722">
        <w:rPr>
          <w:lang w:eastAsia="sl-SI"/>
        </w:rPr>
        <w:t>javni razpis oziroma razpisna dokumentacija: ni bilo pr</w:t>
      </w:r>
      <w:r>
        <w:rPr>
          <w:lang w:eastAsia="sl-SI"/>
        </w:rPr>
        <w:t>idobljeno</w:t>
      </w:r>
      <w:r w:rsidRPr="00692722">
        <w:rPr>
          <w:lang w:eastAsia="sl-SI"/>
        </w:rPr>
        <w:t xml:space="preserve"> finančno zavarovanje za dobro izvedbo pogodbenih obveznosti;</w:t>
      </w:r>
    </w:p>
    <w:p w14:paraId="6962400E" w14:textId="77777777" w:rsidR="00C36D57" w:rsidRPr="00692722" w:rsidRDefault="00C36D57" w:rsidP="00C36D57">
      <w:pPr>
        <w:pStyle w:val="RSnatevanje"/>
        <w:keepLines w:val="0"/>
        <w:numPr>
          <w:ilvl w:val="0"/>
          <w:numId w:val="28"/>
        </w:numPr>
        <w:spacing w:after="80"/>
      </w:pPr>
      <w:r w:rsidRPr="00692722">
        <w:rPr>
          <w:lang w:eastAsia="sl-SI"/>
        </w:rPr>
        <w:t>pogodba: niso bila spoštovana določila pogodb.</w:t>
      </w:r>
    </w:p>
    <w:p w14:paraId="7940553D" w14:textId="77777777" w:rsidR="00C36D57" w:rsidRPr="00692722" w:rsidRDefault="00C36D57" w:rsidP="00C36D57">
      <w:pPr>
        <w:pStyle w:val="RStekst"/>
        <w:rPr>
          <w:highlight w:val="lightGray"/>
        </w:rPr>
      </w:pPr>
      <w:r w:rsidRPr="00692722">
        <w:t xml:space="preserve">Neskladja s predpisi </w:t>
      </w:r>
      <w:r>
        <w:t xml:space="preserve">in drugimi pravnimi akti </w:t>
      </w:r>
      <w:r w:rsidRPr="00692722">
        <w:t>pri dodeljevanju transferov:</w:t>
      </w:r>
    </w:p>
    <w:p w14:paraId="3413048A" w14:textId="77777777" w:rsidR="00C36D57" w:rsidRPr="00692722" w:rsidRDefault="00C36D57" w:rsidP="00C36D57">
      <w:pPr>
        <w:pStyle w:val="RSnatevanje"/>
        <w:keepLines w:val="0"/>
        <w:numPr>
          <w:ilvl w:val="0"/>
          <w:numId w:val="28"/>
        </w:numPr>
        <w:spacing w:after="80"/>
      </w:pPr>
      <w:r w:rsidRPr="00692722">
        <w:t>Zakon o javnih financah: obveznosti niso bile prevzete s pisno pogodbo, pred izplačili nista bila preverjena pravni temelj in višina obveznosti, ni bil izvajan ustrezen nadzor nad poslovanjem pravnih oseb oziroma nad izvajanjem odobrenega programa pravne osebe;</w:t>
      </w:r>
    </w:p>
    <w:p w14:paraId="58A1F3E1" w14:textId="77777777" w:rsidR="00C36D57" w:rsidRPr="00692722" w:rsidRDefault="00C36D57" w:rsidP="00C36D57">
      <w:pPr>
        <w:pStyle w:val="RSnatevanje"/>
        <w:keepLines w:val="0"/>
        <w:numPr>
          <w:ilvl w:val="0"/>
          <w:numId w:val="28"/>
        </w:numPr>
        <w:spacing w:after="80"/>
      </w:pPr>
      <w:r w:rsidRPr="00692722">
        <w:t>Zakon o izvrševanju proračunov Republike Slovenije za leti 2023 in 2024: izhodišča za pripravo finančnega načrta so bila posrednemu proračunskemu uporabniku posredovana prepozno;</w:t>
      </w:r>
    </w:p>
    <w:p w14:paraId="5815DF18" w14:textId="77777777" w:rsidR="00C36D57" w:rsidRPr="00692722" w:rsidRDefault="00C36D57" w:rsidP="00C36D57">
      <w:pPr>
        <w:pStyle w:val="RSnatevanje"/>
        <w:keepLines w:val="0"/>
        <w:numPr>
          <w:ilvl w:val="0"/>
          <w:numId w:val="28"/>
        </w:numPr>
        <w:spacing w:after="80"/>
      </w:pPr>
      <w:r w:rsidRPr="00692722">
        <w:t>Zakon o nujnih ukrepih za zagotovitev stabilnosti zdravstvenega sistema: zahtevek je bil plačan kasneje kot v 15 dneh po prejemu;</w:t>
      </w:r>
    </w:p>
    <w:p w14:paraId="5A1C8C2F" w14:textId="77777777" w:rsidR="00C36D57" w:rsidRPr="00692722" w:rsidRDefault="00C36D57" w:rsidP="00C36D57">
      <w:pPr>
        <w:pStyle w:val="RSnatevanje"/>
        <w:keepLines w:val="0"/>
        <w:numPr>
          <w:ilvl w:val="0"/>
          <w:numId w:val="28"/>
        </w:numPr>
        <w:spacing w:after="80"/>
      </w:pPr>
      <w:r w:rsidRPr="00692722">
        <w:t xml:space="preserve">Zakon o splošnem upravnem postopku: odločbe o napredovanju strokovnih delavcev so bile izdane prepozno; </w:t>
      </w:r>
    </w:p>
    <w:p w14:paraId="143AD991" w14:textId="77777777" w:rsidR="00C36D57" w:rsidRPr="00692722" w:rsidRDefault="00C36D57" w:rsidP="00C36D57">
      <w:pPr>
        <w:pStyle w:val="RSnatevanje"/>
        <w:keepLines w:val="0"/>
        <w:numPr>
          <w:ilvl w:val="0"/>
          <w:numId w:val="28"/>
        </w:numPr>
        <w:spacing w:after="80"/>
        <w:rPr>
          <w:lang w:eastAsia="sl-SI"/>
        </w:rPr>
      </w:pPr>
      <w:r w:rsidRPr="00692722">
        <w:t xml:space="preserve">Zakon o državni upravi: </w:t>
      </w:r>
      <w:r w:rsidRPr="00692722">
        <w:rPr>
          <w:lang w:eastAsia="sl-SI"/>
        </w:rPr>
        <w:t xml:space="preserve">ni bil izvajan nadzor nad izvrševanjem upravnih nalog s strani ministrstva, plačni razred pomočnika ravnatelja v </w:t>
      </w:r>
      <w:r w:rsidRPr="00692722">
        <w:t>Pravilniku o metodologiji financiranja izobraževalnih programov in vzgojnega programa na področju srednjega šolstva ni bil usklajen s plačnim razredom v Zakonu o spremembah in dopolnitvah Zakona o sistemu plač v javnem sektorju;</w:t>
      </w:r>
    </w:p>
    <w:p w14:paraId="30B95822" w14:textId="77777777" w:rsidR="00C36D57" w:rsidRPr="00692722" w:rsidRDefault="00C36D57" w:rsidP="00C36D57">
      <w:pPr>
        <w:pStyle w:val="RSnatevanje"/>
        <w:keepLines w:val="0"/>
        <w:numPr>
          <w:ilvl w:val="0"/>
          <w:numId w:val="28"/>
        </w:numPr>
        <w:spacing w:after="80"/>
      </w:pPr>
      <w:r w:rsidRPr="00692722">
        <w:t xml:space="preserve">Zakon o podpornem okolju za podjetništvo: komisija vlog ni ocenila na podlagi pogojev in meril, ki so bili navedeni v javnem </w:t>
      </w:r>
      <w:r w:rsidRPr="003E7EF2">
        <w:t>razpisu</w:t>
      </w:r>
      <w:r w:rsidRPr="00692722">
        <w:t>;</w:t>
      </w:r>
    </w:p>
    <w:p w14:paraId="5176DCA1" w14:textId="77777777" w:rsidR="00C36D57" w:rsidRPr="00692722" w:rsidRDefault="00C36D57" w:rsidP="00C36D57">
      <w:pPr>
        <w:pStyle w:val="RSnatevanje"/>
        <w:keepLines w:val="0"/>
        <w:numPr>
          <w:ilvl w:val="0"/>
          <w:numId w:val="28"/>
        </w:numPr>
        <w:spacing w:after="80"/>
      </w:pPr>
      <w:r w:rsidRPr="00692722">
        <w:t xml:space="preserve">Uredba o postopku, merilih in načinih dodeljevanja sredstev za spodbujanje razvojnih programov in </w:t>
      </w:r>
      <w:r w:rsidRPr="003E7EF2">
        <w:t>prednostnih</w:t>
      </w:r>
      <w:r w:rsidRPr="00692722">
        <w:t xml:space="preserve"> nalog: </w:t>
      </w:r>
      <w:r w:rsidRPr="00692722">
        <w:rPr>
          <w:lang w:eastAsia="sl-SI"/>
        </w:rPr>
        <w:t>prijavitelji niso bili obveščeni o odločitvi glede dodelitve sredstev</w:t>
      </w:r>
      <w:r>
        <w:rPr>
          <w:lang w:eastAsia="sl-SI"/>
        </w:rPr>
        <w:t xml:space="preserve"> v roku</w:t>
      </w:r>
      <w:r w:rsidRPr="00692722">
        <w:rPr>
          <w:lang w:eastAsia="sl-SI"/>
        </w:rPr>
        <w:t>, ki je bil naveden v objavi javnega razpisa</w:t>
      </w:r>
      <w:r w:rsidRPr="00692722">
        <w:t>, izbrani prijavitelji niso bili pravočasno pozvani k sklenitvi pogodbe;</w:t>
      </w:r>
    </w:p>
    <w:p w14:paraId="57FAE2E1" w14:textId="77777777" w:rsidR="00C36D57" w:rsidRPr="00692722" w:rsidRDefault="00C36D57" w:rsidP="00C36D57">
      <w:pPr>
        <w:pStyle w:val="RSnatevanje"/>
        <w:keepLines w:val="0"/>
        <w:numPr>
          <w:ilvl w:val="0"/>
          <w:numId w:val="28"/>
        </w:numPr>
        <w:spacing w:after="80"/>
        <w:rPr>
          <w:lang w:eastAsia="sl-SI"/>
        </w:rPr>
      </w:pPr>
      <w:r w:rsidRPr="00692722">
        <w:t>Uredba (ES) št. 1370/2007 Evropskega parlamenta in Sveta z dne 23. oktobra 2007 o javnih storitvah železniškega in cestnega potniškega prevoza ter o razveljavitvi uredb Sveta (EGS) št. 1191/69 in št. 1107/70: koncesijsko razmerje za opravljanje gospodarske javne službe javni linijski prevoz potnikov v notranjem cestnem prometu je bilo podaljšano za daljše obdobje, kot je dopuščala uredba;</w:t>
      </w:r>
    </w:p>
    <w:p w14:paraId="4EDEBC23" w14:textId="77777777" w:rsidR="00C36D57" w:rsidRPr="00692722" w:rsidRDefault="00C36D57" w:rsidP="00C36D57">
      <w:pPr>
        <w:pStyle w:val="RSnatevanje"/>
        <w:keepLines w:val="0"/>
        <w:numPr>
          <w:ilvl w:val="0"/>
          <w:numId w:val="28"/>
        </w:numPr>
        <w:spacing w:after="80"/>
      </w:pPr>
      <w:r w:rsidRPr="00692722">
        <w:t>Pravilnik o postopkih za izvrševanje proračuna Republike Slovenije: pogodbe so bile sklenjene po začetku opravljanja storitev;</w:t>
      </w:r>
    </w:p>
    <w:p w14:paraId="51E461DB" w14:textId="77777777" w:rsidR="00C36D57" w:rsidRPr="00692722" w:rsidRDefault="00C36D57" w:rsidP="00C36D57">
      <w:pPr>
        <w:pStyle w:val="RSnatevanje"/>
        <w:keepLines w:val="0"/>
        <w:numPr>
          <w:ilvl w:val="0"/>
          <w:numId w:val="28"/>
        </w:numPr>
        <w:spacing w:after="80"/>
        <w:rPr>
          <w:lang w:eastAsia="sl-SI"/>
        </w:rPr>
      </w:pPr>
      <w:r w:rsidRPr="00692722">
        <w:rPr>
          <w:lang w:eastAsia="sl-SI"/>
        </w:rPr>
        <w:t xml:space="preserve">Pravilnik o izvajanju Zakona o javnem interesu v mladinskem sektorju: </w:t>
      </w:r>
      <w:r w:rsidRPr="00692722">
        <w:t>namera objave javnega poziva ni bila javno objavljena, sklep o izboru ni vključeval vseh obveznih podatkov;</w:t>
      </w:r>
    </w:p>
    <w:p w14:paraId="418AF1EA" w14:textId="77777777" w:rsidR="00C36D57" w:rsidRPr="00692722" w:rsidRDefault="00C36D57" w:rsidP="00C36D57">
      <w:pPr>
        <w:keepNext/>
        <w:widowControl/>
        <w:numPr>
          <w:ilvl w:val="0"/>
          <w:numId w:val="28"/>
        </w:numPr>
        <w:adjustRightInd w:val="0"/>
        <w:snapToGrid w:val="0"/>
        <w:spacing w:before="0" w:line="280" w:lineRule="exact"/>
        <w:contextualSpacing w:val="0"/>
        <w:jc w:val="both"/>
        <w:rPr>
          <w:rFonts w:asciiTheme="minorHAnsi" w:hAnsiTheme="minorHAnsi"/>
          <w:sz w:val="20"/>
          <w:lang w:eastAsia="sl-SI"/>
        </w:rPr>
      </w:pPr>
      <w:r w:rsidRPr="00692722">
        <w:rPr>
          <w:rFonts w:asciiTheme="minorHAnsi" w:hAnsiTheme="minorHAnsi"/>
          <w:sz w:val="20"/>
          <w:lang w:eastAsia="sl-SI"/>
        </w:rPr>
        <w:lastRenderedPageBreak/>
        <w:t>javni razpis oziroma razpisna dokumentacija: prijavitelji niso bili v roku obveščeni o odločitvi glede dodelitve sredstev oziroma o izidu javnega razpisa;</w:t>
      </w:r>
    </w:p>
    <w:p w14:paraId="0A6F724E" w14:textId="77777777" w:rsidR="00C36D57" w:rsidRPr="00692722" w:rsidRDefault="00C36D57" w:rsidP="00C36D57">
      <w:pPr>
        <w:keepNext/>
        <w:widowControl/>
        <w:numPr>
          <w:ilvl w:val="0"/>
          <w:numId w:val="28"/>
        </w:numPr>
        <w:adjustRightInd w:val="0"/>
        <w:snapToGrid w:val="0"/>
        <w:spacing w:before="0" w:line="280" w:lineRule="exact"/>
        <w:contextualSpacing w:val="0"/>
        <w:jc w:val="both"/>
        <w:rPr>
          <w:rFonts w:asciiTheme="minorHAnsi" w:hAnsiTheme="minorHAnsi"/>
          <w:sz w:val="20"/>
          <w:lang w:eastAsia="sl-SI"/>
        </w:rPr>
      </w:pPr>
      <w:r w:rsidRPr="00692722">
        <w:rPr>
          <w:rFonts w:asciiTheme="minorHAnsi" w:hAnsiTheme="minorHAnsi"/>
          <w:sz w:val="20"/>
          <w:lang w:eastAsia="sl-SI"/>
        </w:rPr>
        <w:t>pogodbe: niso bila spoštovana določila pogodb</w:t>
      </w:r>
      <w:r w:rsidRPr="00692722">
        <w:rPr>
          <w:rFonts w:asciiTheme="minorHAnsi" w:hAnsiTheme="minorHAnsi"/>
          <w:sz w:val="20"/>
        </w:rPr>
        <w:t>.</w:t>
      </w:r>
    </w:p>
    <w:p w14:paraId="7080DB12" w14:textId="77777777" w:rsidR="00C36D57" w:rsidRPr="00692722" w:rsidRDefault="00C36D57" w:rsidP="00C36D57">
      <w:pPr>
        <w:keepNext/>
        <w:keepLines/>
        <w:widowControl/>
        <w:adjustRightInd w:val="0"/>
        <w:snapToGrid w:val="0"/>
        <w:spacing w:before="240" w:after="240" w:line="280" w:lineRule="exact"/>
        <w:contextualSpacing w:val="0"/>
        <w:jc w:val="both"/>
        <w:rPr>
          <w:rFonts w:asciiTheme="minorHAnsi" w:hAnsiTheme="minorHAnsi"/>
          <w:bCs/>
          <w:sz w:val="20"/>
        </w:rPr>
      </w:pPr>
      <w:r w:rsidRPr="00692722">
        <w:rPr>
          <w:rFonts w:asciiTheme="minorHAnsi" w:hAnsiTheme="minorHAnsi"/>
          <w:bCs/>
          <w:sz w:val="20"/>
        </w:rPr>
        <w:t>Neskladja s predpisi na področju pridobivanja prihodkov državnega proračuna:</w:t>
      </w:r>
    </w:p>
    <w:p w14:paraId="1A613F59" w14:textId="77777777" w:rsidR="00C36D57" w:rsidRPr="00692722" w:rsidRDefault="00C36D57" w:rsidP="00C36D57">
      <w:pPr>
        <w:widowControl/>
        <w:numPr>
          <w:ilvl w:val="0"/>
          <w:numId w:val="28"/>
        </w:numPr>
        <w:adjustRightInd w:val="0"/>
        <w:snapToGrid w:val="0"/>
        <w:spacing w:before="0" w:line="280" w:lineRule="exact"/>
        <w:contextualSpacing w:val="0"/>
        <w:jc w:val="both"/>
        <w:rPr>
          <w:rFonts w:asciiTheme="minorHAnsi" w:hAnsiTheme="minorHAnsi"/>
          <w:sz w:val="20"/>
        </w:rPr>
      </w:pPr>
      <w:r w:rsidRPr="00692722">
        <w:rPr>
          <w:rFonts w:asciiTheme="minorHAnsi" w:hAnsiTheme="minorHAnsi"/>
          <w:sz w:val="20"/>
          <w:shd w:val="clear" w:color="auto" w:fill="FFFFFF" w:themeFill="background1"/>
        </w:rPr>
        <w:t>Zakon o javnih financah: ni bilo zagotovljeno, da so najemnine od oddaje stvarnega premoženja države v najem prihodek proračuna države,</w:t>
      </w:r>
      <w:r w:rsidRPr="00692722">
        <w:rPr>
          <w:rFonts w:asciiTheme="minorHAnsi" w:hAnsiTheme="minorHAnsi"/>
          <w:bCs/>
          <w:sz w:val="20"/>
          <w:shd w:val="clear" w:color="auto" w:fill="FFFFFF" w:themeFill="background1"/>
        </w:rPr>
        <w:t xml:space="preserve"> v proračunu niso bili izkazani vsi prejemki, ki pripadajo državi, ter vsi izdatki države za posamezne</w:t>
      </w:r>
      <w:r w:rsidRPr="00692722">
        <w:rPr>
          <w:rFonts w:asciiTheme="minorHAnsi" w:hAnsiTheme="minorHAnsi"/>
          <w:bCs/>
          <w:sz w:val="20"/>
        </w:rPr>
        <w:t xml:space="preserve"> namene;</w:t>
      </w:r>
    </w:p>
    <w:p w14:paraId="1FC7EBE9" w14:textId="77777777" w:rsidR="00C36D57" w:rsidRPr="00692722" w:rsidRDefault="00C36D57" w:rsidP="00C36D57">
      <w:pPr>
        <w:widowControl/>
        <w:numPr>
          <w:ilvl w:val="0"/>
          <w:numId w:val="28"/>
        </w:numPr>
        <w:adjustRightInd w:val="0"/>
        <w:snapToGrid w:val="0"/>
        <w:spacing w:before="0" w:line="280" w:lineRule="exact"/>
        <w:contextualSpacing w:val="0"/>
        <w:jc w:val="both"/>
        <w:rPr>
          <w:rFonts w:asciiTheme="minorHAnsi" w:hAnsiTheme="minorHAnsi"/>
          <w:sz w:val="20"/>
        </w:rPr>
      </w:pPr>
      <w:r w:rsidRPr="00692722">
        <w:rPr>
          <w:rFonts w:asciiTheme="minorHAnsi" w:hAnsiTheme="minorHAnsi"/>
          <w:sz w:val="20"/>
        </w:rPr>
        <w:t>Zakon o računovodstvu: niso bila izkazana vsa sredstva, ki jih je Republika Slovenija pridobila v lastništvo;</w:t>
      </w:r>
    </w:p>
    <w:p w14:paraId="53B2146C" w14:textId="77777777" w:rsidR="00C36D57" w:rsidRPr="003E7EF2" w:rsidRDefault="00C36D57" w:rsidP="00C36D57">
      <w:pPr>
        <w:pStyle w:val="RSnatevanje"/>
        <w:keepLines w:val="0"/>
        <w:numPr>
          <w:ilvl w:val="0"/>
          <w:numId w:val="28"/>
        </w:numPr>
        <w:spacing w:after="80"/>
      </w:pPr>
      <w:r w:rsidRPr="003E7EF2">
        <w:t>Zakon o vodah: Vlada Republike Slovenije ni predpisala podrobnejših meril za določitev roka, načina in višine plačila za vodno pravico in meril za njegovo znižanje ter oprostitev za primere, ko je vodna pravica pridobljena na podlagi vodnega dovoljenja;</w:t>
      </w:r>
    </w:p>
    <w:p w14:paraId="71C657B6" w14:textId="77777777" w:rsidR="00C36D57" w:rsidRPr="00692722" w:rsidRDefault="00C36D57" w:rsidP="00C36D57">
      <w:pPr>
        <w:widowControl/>
        <w:numPr>
          <w:ilvl w:val="0"/>
          <w:numId w:val="28"/>
        </w:numPr>
        <w:adjustRightInd w:val="0"/>
        <w:snapToGrid w:val="0"/>
        <w:spacing w:before="0" w:line="280" w:lineRule="exact"/>
        <w:contextualSpacing w:val="0"/>
        <w:jc w:val="both"/>
        <w:rPr>
          <w:rFonts w:asciiTheme="minorHAnsi" w:hAnsiTheme="minorHAnsi"/>
          <w:sz w:val="20"/>
        </w:rPr>
      </w:pPr>
      <w:r w:rsidRPr="00692722">
        <w:rPr>
          <w:rFonts w:asciiTheme="minorHAnsi" w:hAnsiTheme="minorHAnsi"/>
          <w:sz w:val="20"/>
        </w:rPr>
        <w:t xml:space="preserve">Zakon o izgradnji, upravljanju in gospodarjenju z drugim tirom železniške proge Divača–Koper: zbrana namenska sredstva niso bila vložena v osnovni kapital družbe 2TDK, </w:t>
      </w:r>
      <w:proofErr w:type="spellStart"/>
      <w:r w:rsidRPr="00692722">
        <w:rPr>
          <w:rFonts w:asciiTheme="minorHAnsi" w:hAnsiTheme="minorHAnsi"/>
          <w:sz w:val="20"/>
        </w:rPr>
        <w:t>d.o.o</w:t>
      </w:r>
      <w:proofErr w:type="spellEnd"/>
      <w:r w:rsidRPr="00692722">
        <w:rPr>
          <w:rFonts w:asciiTheme="minorHAnsi" w:hAnsiTheme="minorHAnsi"/>
          <w:sz w:val="20"/>
        </w:rPr>
        <w:t>. v zakonsko določenem roku;</w:t>
      </w:r>
    </w:p>
    <w:p w14:paraId="611FD135" w14:textId="77777777" w:rsidR="00C36D57" w:rsidRPr="00692722" w:rsidRDefault="00C36D57" w:rsidP="00C36D57">
      <w:pPr>
        <w:pStyle w:val="RSnatevanje"/>
        <w:keepLines w:val="0"/>
        <w:numPr>
          <w:ilvl w:val="0"/>
          <w:numId w:val="28"/>
        </w:numPr>
        <w:spacing w:after="80"/>
      </w:pPr>
      <w:r w:rsidRPr="00692722">
        <w:rPr>
          <w:lang w:eastAsia="sl-SI"/>
        </w:rPr>
        <w:t xml:space="preserve">Zakon o obnovi, razvoju in zagotavljanju finančnih sredstev: </w:t>
      </w:r>
      <w:r>
        <w:rPr>
          <w:lang w:eastAsia="sl-SI"/>
        </w:rPr>
        <w:t xml:space="preserve">Ministrstvo za finance </w:t>
      </w:r>
      <w:r w:rsidRPr="00692722">
        <w:rPr>
          <w:lang w:eastAsia="sl-SI"/>
        </w:rPr>
        <w:t>ni ustanovil</w:t>
      </w:r>
      <w:r>
        <w:rPr>
          <w:lang w:eastAsia="sl-SI"/>
        </w:rPr>
        <w:t>o</w:t>
      </w:r>
      <w:r w:rsidRPr="00692722">
        <w:rPr>
          <w:lang w:eastAsia="sl-SI"/>
        </w:rPr>
        <w:t xml:space="preserve"> sklada za obnovo in ni prenesl</w:t>
      </w:r>
      <w:r>
        <w:rPr>
          <w:lang w:eastAsia="sl-SI"/>
        </w:rPr>
        <w:t xml:space="preserve">o </w:t>
      </w:r>
      <w:r w:rsidRPr="00692722">
        <w:rPr>
          <w:lang w:eastAsia="sl-SI"/>
        </w:rPr>
        <w:t>že vplačanih prihodkov v sklad za obnovo;</w:t>
      </w:r>
    </w:p>
    <w:p w14:paraId="1CA9D445" w14:textId="77777777" w:rsidR="00C36D57" w:rsidRPr="00692722" w:rsidRDefault="00C36D57" w:rsidP="00C36D57">
      <w:pPr>
        <w:pStyle w:val="RSnatevanje"/>
        <w:keepLines w:val="0"/>
        <w:numPr>
          <w:ilvl w:val="0"/>
          <w:numId w:val="28"/>
        </w:numPr>
        <w:spacing w:after="80"/>
      </w:pPr>
      <w:r w:rsidRPr="00692722">
        <w:rPr>
          <w:lang w:eastAsia="sl-SI"/>
        </w:rPr>
        <w:t xml:space="preserve">Zakon o uporabi sredstev, pridobljenih iz naslova kupnine na podlagi Zakona o lastninskem preoblikovanju: kupnine, namenjene za sanacijo gospodarstva, spodbujanje in kreditiranje izvoza ter investicije v javni sektor gospodarstva se niso zbirale na posebnem računu pri ministrstvu, pristojnem za gospodarstvo; </w:t>
      </w:r>
    </w:p>
    <w:p w14:paraId="3A4111C4" w14:textId="77777777" w:rsidR="00C36D57" w:rsidRPr="00692722" w:rsidRDefault="00C36D57" w:rsidP="00C36D57">
      <w:pPr>
        <w:pStyle w:val="RSnatevanje"/>
        <w:keepLines w:val="0"/>
        <w:numPr>
          <w:ilvl w:val="0"/>
          <w:numId w:val="28"/>
        </w:numPr>
        <w:spacing w:after="80"/>
      </w:pPr>
      <w:r w:rsidRPr="00692722">
        <w:t>Zakon o investicijah v javne zdravstvene zavode, katerih ustanovitelj je Republika Slovenija: ni bilo zagotovljeno, da bi bile najemnine, ki so jih zaračunali in prejeli javni zdravstveni zavodi, nakazane v proračun in izkazane kot prihodki proračuna in da bi se za ta sredstva oblikoval proračunski sklad.</w:t>
      </w:r>
    </w:p>
    <w:p w14:paraId="21CC44C3" w14:textId="6D53569B" w:rsidR="003D1FAE" w:rsidRDefault="00C36D57" w:rsidP="00C36D57">
      <w:pPr>
        <w:pStyle w:val="RStekst"/>
      </w:pPr>
      <w:r w:rsidRPr="00692722">
        <w:t>Ministrstvo za vzgojo in izobraževanje med izvajanjem revizije ni odpravil</w:t>
      </w:r>
      <w:r>
        <w:t>o</w:t>
      </w:r>
      <w:r w:rsidRPr="00692722">
        <w:t xml:space="preserve"> vseh nepravilnosti, zato je računsko sodišče od nj</w:t>
      </w:r>
      <w:r>
        <w:t>ega</w:t>
      </w:r>
      <w:r w:rsidRPr="00692722">
        <w:t xml:space="preserve"> zahtevalo </w:t>
      </w:r>
      <w:r w:rsidRPr="00692722">
        <w:rPr>
          <w:b/>
        </w:rPr>
        <w:t>predložitev odzivn</w:t>
      </w:r>
      <w:r>
        <w:rPr>
          <w:b/>
        </w:rPr>
        <w:t>ega</w:t>
      </w:r>
      <w:r w:rsidRPr="00692722">
        <w:rPr>
          <w:b/>
        </w:rPr>
        <w:t xml:space="preserve"> poročil</w:t>
      </w:r>
      <w:r>
        <w:rPr>
          <w:b/>
        </w:rPr>
        <w:t>a</w:t>
      </w:r>
      <w:r w:rsidRPr="00692722">
        <w:rPr>
          <w:b/>
        </w:rPr>
        <w:t xml:space="preserve">, </w:t>
      </w:r>
      <w:r w:rsidRPr="00692722">
        <w:t xml:space="preserve">Vladi Republike Slovenije, Ministrstvu za finance, </w:t>
      </w:r>
      <w:r w:rsidRPr="00692722">
        <w:rPr>
          <w:lang w:eastAsia="sl-SI"/>
        </w:rPr>
        <w:t xml:space="preserve">Finančni upravi Republike Slovenije, </w:t>
      </w:r>
      <w:r w:rsidRPr="00692722">
        <w:t xml:space="preserve">Ministrstvu za zunanje in evropske zadeve, </w:t>
      </w:r>
      <w:r w:rsidRPr="00692722">
        <w:rPr>
          <w:lang w:eastAsia="sl-SI"/>
        </w:rPr>
        <w:t xml:space="preserve">Ministrstvu za okolje, podnebje in energijo, Agenciji Republike Slovenije za okolje, Ministrstvu za javno upravo, Ministrstvu za notranje zadeve, Policiji in </w:t>
      </w:r>
      <w:r w:rsidRPr="00692722">
        <w:t xml:space="preserve">Ministrstvu za infrastrukturo, Direkciji za infrastrukturo pa je podalo tudi </w:t>
      </w:r>
      <w:r w:rsidRPr="00692722">
        <w:rPr>
          <w:b/>
        </w:rPr>
        <w:t>priporočila</w:t>
      </w:r>
      <w:r w:rsidRPr="00692722">
        <w:t xml:space="preserve"> za izboljšanje poslovanja.</w:t>
      </w:r>
    </w:p>
    <w:p w14:paraId="5424E38D" w14:textId="77777777" w:rsidR="00C572B5" w:rsidRDefault="00C572B5" w:rsidP="003D1FAE">
      <w:pPr>
        <w:pStyle w:val="RStekst"/>
      </w:pPr>
    </w:p>
    <w:p w14:paraId="35897DF7" w14:textId="31AC3827" w:rsidR="008629A2" w:rsidRDefault="008629A2" w:rsidP="008629A2">
      <w:pPr>
        <w:pStyle w:val="RStekst"/>
      </w:pPr>
      <w:r>
        <w:t xml:space="preserve">Ljubljana, </w:t>
      </w:r>
      <w:r w:rsidR="00C400D5">
        <w:t xml:space="preserve">3. septembra </w:t>
      </w:r>
      <w:r w:rsidR="00C36D57">
        <w:t>202</w:t>
      </w:r>
      <w:r w:rsidR="00C400D5">
        <w:t>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F2E17D6"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A5B9F">
          <w:rPr>
            <w:rStyle w:val="tevilkastrani"/>
            <w:noProof/>
          </w:rPr>
          <w:t>4</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EF3D37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A5B9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9B7F" w14:textId="77777777" w:rsidR="005A5B9F" w:rsidRPr="00953FA7" w:rsidRDefault="005A5B9F" w:rsidP="005A5B9F">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2A62AD1D" wp14:editId="2697F9B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72FA2CF8" w14:textId="0F1D461A" w:rsidR="00AE7E48" w:rsidRPr="005A5B9F" w:rsidRDefault="005A5B9F" w:rsidP="005A5B9F">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num>
  <w:num w:numId="29">
    <w:abstractNumId w:val="21"/>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 w:numId="30">
    <w:abstractNumId w:val="21"/>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567"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A5B9F"/>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96743"/>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36D57"/>
    <w:rsid w:val="00C400D5"/>
    <w:rsid w:val="00C507AA"/>
    <w:rsid w:val="00C572B5"/>
    <w:rsid w:val="00C64910"/>
    <w:rsid w:val="00C64EFF"/>
    <w:rsid w:val="00C7520A"/>
    <w:rsid w:val="00C941E5"/>
    <w:rsid w:val="00CA4E70"/>
    <w:rsid w:val="00CA4EAF"/>
    <w:rsid w:val="00CA7704"/>
    <w:rsid w:val="00CC08DD"/>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79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uiPriority w:val="99"/>
    <w:rsid w:val="00C64EFF"/>
    <w:pPr>
      <w:keepNext/>
      <w:numPr>
        <w:ilvl w:val="1"/>
        <w:numId w:val="4"/>
      </w:numPr>
      <w:outlineLvl w:val="1"/>
    </w:pPr>
    <w:rPr>
      <w:sz w:val="24"/>
    </w:rPr>
  </w:style>
  <w:style w:type="paragraph" w:styleId="Naslov3">
    <w:name w:val="heading 3"/>
    <w:basedOn w:val="Navaden"/>
    <w:next w:val="Navaden"/>
    <w:link w:val="Naslov3Znak"/>
    <w:uiPriority w:val="99"/>
    <w:rsid w:val="00C64EFF"/>
    <w:pPr>
      <w:keepNext/>
      <w:numPr>
        <w:ilvl w:val="2"/>
        <w:numId w:val="4"/>
      </w:numPr>
      <w:outlineLvl w:val="2"/>
    </w:pPr>
    <w:rPr>
      <w:b/>
      <w:sz w:val="28"/>
    </w:rPr>
  </w:style>
  <w:style w:type="paragraph" w:styleId="Naslov4">
    <w:name w:val="heading 4"/>
    <w:basedOn w:val="Navaden"/>
    <w:next w:val="Navaden"/>
    <w:link w:val="Naslov4Znak"/>
    <w:uiPriority w:val="99"/>
    <w:rsid w:val="00C64EFF"/>
    <w:pPr>
      <w:keepNext/>
      <w:numPr>
        <w:ilvl w:val="3"/>
        <w:numId w:val="4"/>
      </w:numPr>
      <w:spacing w:before="120" w:after="120"/>
      <w:outlineLvl w:val="3"/>
    </w:pPr>
    <w:rPr>
      <w:b/>
    </w:rPr>
  </w:style>
  <w:style w:type="paragraph" w:styleId="Naslov5">
    <w:name w:val="heading 5"/>
    <w:basedOn w:val="Navaden"/>
    <w:next w:val="Navaden"/>
    <w:link w:val="Naslov5Znak"/>
    <w:uiPriority w:val="99"/>
    <w:rsid w:val="00C64EFF"/>
    <w:pPr>
      <w:keepNext/>
      <w:numPr>
        <w:ilvl w:val="4"/>
        <w:numId w:val="4"/>
      </w:numPr>
      <w:jc w:val="center"/>
      <w:outlineLvl w:val="4"/>
    </w:pPr>
    <w:rPr>
      <w:b/>
    </w:rPr>
  </w:style>
  <w:style w:type="paragraph" w:styleId="Naslov6">
    <w:name w:val="heading 6"/>
    <w:basedOn w:val="Navaden"/>
    <w:next w:val="Navaden"/>
    <w:link w:val="Naslov6Znak"/>
    <w:uiPriority w:val="99"/>
    <w:rsid w:val="00C64EFF"/>
    <w:pPr>
      <w:keepNext/>
      <w:numPr>
        <w:ilvl w:val="5"/>
        <w:numId w:val="4"/>
      </w:numPr>
      <w:spacing w:before="360"/>
      <w:jc w:val="center"/>
      <w:outlineLvl w:val="5"/>
    </w:pPr>
    <w:rPr>
      <w:b/>
    </w:rPr>
  </w:style>
  <w:style w:type="paragraph" w:styleId="Naslov7">
    <w:name w:val="heading 7"/>
    <w:basedOn w:val="Navaden"/>
    <w:next w:val="Navaden"/>
    <w:link w:val="Naslov7Znak"/>
    <w:uiPriority w:val="99"/>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uiPriority w:val="99"/>
    <w:rsid w:val="00C64EFF"/>
    <w:pPr>
      <w:keepNext/>
      <w:numPr>
        <w:ilvl w:val="7"/>
        <w:numId w:val="4"/>
      </w:numPr>
      <w:outlineLvl w:val="7"/>
    </w:pPr>
    <w:rPr>
      <w:i/>
      <w:color w:val="000000"/>
    </w:rPr>
  </w:style>
  <w:style w:type="paragraph" w:styleId="Naslov9">
    <w:name w:val="heading 9"/>
    <w:basedOn w:val="Navaden"/>
    <w:next w:val="Navaden"/>
    <w:link w:val="Naslov9Znak"/>
    <w:uiPriority w:val="99"/>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uiPriority w:val="2"/>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uiPriority w:val="2"/>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uiPriority w:val="2"/>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uiPriority w:val="2"/>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uiPriority w:val="2"/>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uiPriority w:val="2"/>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uiPriority w:val="2"/>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uiPriority w:val="2"/>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uiPriority w:val="99"/>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uiPriority w:val="2"/>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1e3d3dff-4392-4e99-aebd-c95b4ee1afd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9095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2024-09-03T09:58:00Z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