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93FF4" w14:textId="21934134" w:rsidR="008629A2" w:rsidRPr="00F4569E" w:rsidRDefault="008629A2" w:rsidP="0057712B">
      <w:pPr>
        <w:pStyle w:val="RSGLAVNINASLOV"/>
        <w:spacing w:before="600" w:after="360"/>
        <w:rPr>
          <w:spacing w:val="-2"/>
        </w:rPr>
      </w:pPr>
      <w:r w:rsidRPr="009176A9">
        <w:rPr>
          <w:spacing w:val="-2"/>
        </w:rPr>
        <w:t>Povzetek revizijskega poročila</w:t>
      </w:r>
      <w:r w:rsidR="00CD1437">
        <w:rPr>
          <w:spacing w:val="-2"/>
        </w:rPr>
        <w:br/>
        <w:t>O</w:t>
      </w:r>
      <w:r w:rsidR="00CD1437" w:rsidRPr="00CD1437">
        <w:rPr>
          <w:spacing w:val="-2"/>
        </w:rPr>
        <w:t>bvladovanje in poslovanje DRI kot notranjega izvajalca</w:t>
      </w:r>
      <w:r w:rsidR="00CD1437">
        <w:rPr>
          <w:spacing w:val="-2"/>
        </w:rPr>
        <w:br/>
      </w:r>
      <w:r w:rsidR="00CD1437" w:rsidRPr="00CD1437">
        <w:rPr>
          <w:spacing w:val="-2"/>
        </w:rPr>
        <w:t>za državne organe in druge osebe javnega prava</w:t>
      </w:r>
      <w:r w:rsidRPr="009176A9">
        <w:rPr>
          <w:spacing w:val="-2"/>
        </w:rPr>
        <w:t xml:space="preserve"> </w:t>
      </w:r>
    </w:p>
    <w:p w14:paraId="78C16E91" w14:textId="77777777" w:rsidR="0057712B" w:rsidRDefault="0057712B" w:rsidP="0057712B">
      <w:pPr>
        <w:pStyle w:val="RStekst"/>
      </w:pPr>
      <w:r w:rsidRPr="004F5A9A">
        <w:t xml:space="preserve">Računsko sodišče je revidiralo učinkovitost </w:t>
      </w:r>
      <w:r w:rsidRPr="00CF4F1F">
        <w:rPr>
          <w:b/>
        </w:rPr>
        <w:t>Vlade R</w:t>
      </w:r>
      <w:r>
        <w:rPr>
          <w:b/>
        </w:rPr>
        <w:t>epublike S</w:t>
      </w:r>
      <w:r w:rsidRPr="00CF4F1F">
        <w:rPr>
          <w:b/>
        </w:rPr>
        <w:t>lovenije</w:t>
      </w:r>
      <w:r>
        <w:rPr>
          <w:b/>
        </w:rPr>
        <w:t xml:space="preserve"> </w:t>
      </w:r>
      <w:r w:rsidRPr="004F5A9A">
        <w:t xml:space="preserve">(v nadaljevanju: vlada) in </w:t>
      </w:r>
      <w:r w:rsidRPr="00CF4F1F">
        <w:rPr>
          <w:b/>
        </w:rPr>
        <w:t>Ministrstva za infrastrukturo</w:t>
      </w:r>
      <w:r w:rsidRPr="004F5A9A">
        <w:t xml:space="preserve"> (v nadaljevanju: ministrstvo) pri zagotavljanju pogojev za učinkovito opravlja</w:t>
      </w:r>
      <w:r w:rsidRPr="00EC2CC4">
        <w:t xml:space="preserve">nje nalog </w:t>
      </w:r>
      <w:r w:rsidRPr="00A027A2">
        <w:rPr>
          <w:b/>
        </w:rPr>
        <w:t>DRI</w:t>
      </w:r>
      <w:r w:rsidRPr="007E241F">
        <w:rPr>
          <w:b/>
        </w:rPr>
        <w:t xml:space="preserve"> upravljanje investicij, </w:t>
      </w:r>
      <w:proofErr w:type="spellStart"/>
      <w:r w:rsidRPr="007E241F">
        <w:rPr>
          <w:b/>
        </w:rPr>
        <w:t>d.o.o</w:t>
      </w:r>
      <w:proofErr w:type="spellEnd"/>
      <w:r w:rsidRPr="007E241F">
        <w:rPr>
          <w:b/>
        </w:rPr>
        <w:t>.</w:t>
      </w:r>
      <w:r>
        <w:t xml:space="preserve"> (v nadaljevanju DRI)</w:t>
      </w:r>
      <w:r w:rsidRPr="00EC2CC4">
        <w:t xml:space="preserve"> kot notranjega izvajalca za državne organe in druge osebe javnega prava, </w:t>
      </w:r>
      <w:r w:rsidRPr="00CF4F1F">
        <w:rPr>
          <w:b/>
        </w:rPr>
        <w:t xml:space="preserve">Direkcije </w:t>
      </w:r>
      <w:r>
        <w:rPr>
          <w:b/>
        </w:rPr>
        <w:t xml:space="preserve">Republike Slovenije </w:t>
      </w:r>
      <w:r w:rsidRPr="00CF4F1F">
        <w:rPr>
          <w:b/>
        </w:rPr>
        <w:t>za infrastrukturo</w:t>
      </w:r>
      <w:r w:rsidRPr="00EC2CC4">
        <w:t xml:space="preserve"> (v</w:t>
      </w:r>
      <w:r>
        <w:t> </w:t>
      </w:r>
      <w:r w:rsidRPr="00EC2CC4">
        <w:t xml:space="preserve">nadaljevanju: direkcija) pri izvedbi, spremljanju in nadzoru nad naročili, ki jih je oddala </w:t>
      </w:r>
      <w:r w:rsidRPr="00CF4F1F">
        <w:t>DRI</w:t>
      </w:r>
      <w:r>
        <w:t>,</w:t>
      </w:r>
      <w:r w:rsidRPr="00EC2CC4">
        <w:t xml:space="preserve"> in </w:t>
      </w:r>
      <w:r>
        <w:t xml:space="preserve">poslovanje </w:t>
      </w:r>
      <w:r w:rsidRPr="00EC2CC4">
        <w:t xml:space="preserve">DRI kot notranjega izvajalca v letu 2020. Po mnenju računskega sodišča </w:t>
      </w:r>
      <w:r w:rsidRPr="009C160B">
        <w:rPr>
          <w:b/>
        </w:rPr>
        <w:t>vlada in ministrstvo</w:t>
      </w:r>
      <w:r w:rsidRPr="004F5A9A">
        <w:t xml:space="preserve"> pri tem </w:t>
      </w:r>
      <w:r w:rsidRPr="009C160B">
        <w:rPr>
          <w:b/>
        </w:rPr>
        <w:t>nista bila učinkovita</w:t>
      </w:r>
      <w:r>
        <w:t xml:space="preserve">, </w:t>
      </w:r>
      <w:r w:rsidRPr="009C160B">
        <w:rPr>
          <w:b/>
        </w:rPr>
        <w:t>direkcija in DRI</w:t>
      </w:r>
      <w:r w:rsidRPr="004F5A9A">
        <w:t xml:space="preserve"> pa sta bili </w:t>
      </w:r>
      <w:r w:rsidRPr="009C160B">
        <w:rPr>
          <w:b/>
        </w:rPr>
        <w:t>delno učinkoviti</w:t>
      </w:r>
      <w:r w:rsidRPr="004F5A9A">
        <w:t>.</w:t>
      </w:r>
    </w:p>
    <w:p w14:paraId="2FBB9A2D" w14:textId="77777777" w:rsidR="0057712B" w:rsidRDefault="0057712B" w:rsidP="0057712B">
      <w:pPr>
        <w:pStyle w:val="RStekst"/>
      </w:pPr>
      <w:r>
        <w:t xml:space="preserve">Računsko sodišče je ugotovilo, da </w:t>
      </w:r>
      <w:r>
        <w:tab/>
        <w:t>v</w:t>
      </w:r>
      <w:r w:rsidRPr="002874ED">
        <w:t xml:space="preserve">lada in ministrstvo </w:t>
      </w:r>
      <w:r>
        <w:t xml:space="preserve">nista </w:t>
      </w:r>
      <w:r w:rsidRPr="002874ED">
        <w:t>zagotovila ustrezn</w:t>
      </w:r>
      <w:r>
        <w:t>ih pravnih in strokovnih podlag</w:t>
      </w:r>
      <w:r w:rsidRPr="002874ED">
        <w:t xml:space="preserve"> za opravljanje nalog DRI kot notranjega izvajalca</w:t>
      </w:r>
      <w:r>
        <w:t>,</w:t>
      </w:r>
      <w:r w:rsidDel="001F7042">
        <w:t xml:space="preserve"> </w:t>
      </w:r>
      <w:r>
        <w:t xml:space="preserve">nista preverila prednosti in slabosti izbire centraliziranega </w:t>
      </w:r>
      <w:r w:rsidRPr="009154F9">
        <w:t>modela zagotavljanj</w:t>
      </w:r>
      <w:r>
        <w:t>a</w:t>
      </w:r>
      <w:r w:rsidRPr="009154F9">
        <w:t xml:space="preserve"> inženirskih in svetovalnih storitev</w:t>
      </w:r>
      <w:r>
        <w:t xml:space="preserve"> ter nista strokovno</w:t>
      </w:r>
      <w:r w:rsidRPr="009154F9">
        <w:t xml:space="preserve"> pr</w:t>
      </w:r>
      <w:r>
        <w:t>o</w:t>
      </w:r>
      <w:r w:rsidRPr="009154F9">
        <w:t>uč</w:t>
      </w:r>
      <w:r>
        <w:t>ila</w:t>
      </w:r>
      <w:r w:rsidRPr="009154F9">
        <w:t>, primerja</w:t>
      </w:r>
      <w:r>
        <w:t>la</w:t>
      </w:r>
      <w:r w:rsidRPr="009154F9">
        <w:t xml:space="preserve"> </w:t>
      </w:r>
      <w:r>
        <w:t xml:space="preserve">in </w:t>
      </w:r>
      <w:r w:rsidRPr="009154F9">
        <w:t>ovrednot</w:t>
      </w:r>
      <w:r>
        <w:t>ila</w:t>
      </w:r>
      <w:r w:rsidRPr="009154F9">
        <w:t xml:space="preserve"> različn</w:t>
      </w:r>
      <w:r>
        <w:t>ih</w:t>
      </w:r>
      <w:r w:rsidRPr="009154F9">
        <w:t xml:space="preserve"> možnosti zagotavljanj</w:t>
      </w:r>
      <w:r>
        <w:t>a</w:t>
      </w:r>
      <w:r w:rsidRPr="009154F9">
        <w:t xml:space="preserve"> storitev, </w:t>
      </w:r>
      <w:r>
        <w:t>upoštevaje tudi tveganja obstoječega modela.</w:t>
      </w:r>
      <w:r w:rsidRPr="00F72D47">
        <w:t xml:space="preserve"> </w:t>
      </w:r>
      <w:r>
        <w:t>Vlada in ministrstvo n</w:t>
      </w:r>
      <w:r w:rsidRPr="00F72D47">
        <w:t>i</w:t>
      </w:r>
      <w:r>
        <w:t xml:space="preserve">sta oblikovala </w:t>
      </w:r>
      <w:r w:rsidRPr="00F72D47">
        <w:t>določne in usklajene opredelitve vloge ter obsega dejavnosti DRI kot notranjega izvajalca</w:t>
      </w:r>
      <w:r>
        <w:t xml:space="preserve">, kar je vodilo do tega, da so državni organi na DRI prenašali vedno večji obseg nalog, celo take, za katere so bili zadolženi sami. </w:t>
      </w:r>
      <w:r w:rsidRPr="00F72D47">
        <w:t>Vlada in ministrstvo tudi nista preverjala skladnosti zakonske ureditve posebnega položaja notranjega izvajalca z zakonodajo s področja varstva konkurence, državnih pomoči, koncesij in sorodnih področij</w:t>
      </w:r>
      <w:r>
        <w:t>. Vlada kot upravljavka kapitalske naložbe ni zagotovila ustreznega korporativnega upravljanja DRI, saj</w:t>
      </w:r>
      <w:r w:rsidRPr="00A306E8">
        <w:t xml:space="preserve"> </w:t>
      </w:r>
      <w:r>
        <w:t>ji</w:t>
      </w:r>
      <w:r w:rsidRPr="00A306E8">
        <w:t xml:space="preserve"> je postavljala enotne pos</w:t>
      </w:r>
      <w:r>
        <w:t xml:space="preserve">lovne cilje, ne da bi </w:t>
      </w:r>
      <w:r w:rsidRPr="00E05495">
        <w:t>upošteva</w:t>
      </w:r>
      <w:r>
        <w:t>la</w:t>
      </w:r>
      <w:r w:rsidRPr="00E05495">
        <w:t xml:space="preserve"> razlik</w:t>
      </w:r>
      <w:r>
        <w:t>o</w:t>
      </w:r>
      <w:r w:rsidRPr="00E05495">
        <w:t xml:space="preserve"> med opravljanjem nalog DRI kot notranjega izvajalca</w:t>
      </w:r>
      <w:r>
        <w:t xml:space="preserve"> (</w:t>
      </w:r>
      <w:r w:rsidRPr="00E05495">
        <w:t>dobič</w:t>
      </w:r>
      <w:r>
        <w:t>e</w:t>
      </w:r>
      <w:r w:rsidRPr="00E05495">
        <w:t>k</w:t>
      </w:r>
      <w:r>
        <w:t xml:space="preserve"> podrejen uresničevanju javnega interesa)</w:t>
      </w:r>
      <w:r w:rsidRPr="00E05495">
        <w:t xml:space="preserve"> in opravljanjem nalog na trgu, ki so namenjene ustvarjanju dobička</w:t>
      </w:r>
      <w:r>
        <w:t>. Prav tako ji niso zagotovili dovolj velikega obsega poslov,</w:t>
      </w:r>
      <w:r w:rsidRPr="00A306E8">
        <w:t xml:space="preserve"> zato </w:t>
      </w:r>
      <w:r>
        <w:t>je DRI</w:t>
      </w:r>
      <w:r w:rsidRPr="00A306E8">
        <w:t xml:space="preserve"> 45 % svojih dejavnosti izvaja</w:t>
      </w:r>
      <w:r>
        <w:t>la</w:t>
      </w:r>
      <w:r w:rsidRPr="00A306E8">
        <w:t xml:space="preserve"> na trgu, saj se </w:t>
      </w:r>
      <w:r>
        <w:t>je</w:t>
      </w:r>
      <w:r w:rsidRPr="00A306E8">
        <w:t xml:space="preserve"> prijavlja</w:t>
      </w:r>
      <w:r>
        <w:t>la</w:t>
      </w:r>
      <w:r w:rsidRPr="00A306E8">
        <w:t xml:space="preserve"> tudi na razpise istih naročnikov, ki </w:t>
      </w:r>
      <w:r>
        <w:t>ji</w:t>
      </w:r>
      <w:r w:rsidRPr="00A306E8">
        <w:t xml:space="preserve"> oddajajo naročila tudi kot notranjemu izvajalcu, ter za druge domače in tuje tržne udeležence. Taka tržna usmeritev dodatno ogroža izpolnjevanje pogojev za uporabo izjeme</w:t>
      </w:r>
      <w:r>
        <w:t xml:space="preserve"> po </w:t>
      </w:r>
      <w:proofErr w:type="spellStart"/>
      <w:r>
        <w:t>javnonaročniški</w:t>
      </w:r>
      <w:proofErr w:type="spellEnd"/>
      <w:r>
        <w:t xml:space="preserve"> zakonodaji.</w:t>
      </w:r>
    </w:p>
    <w:p w14:paraId="4B168098" w14:textId="77777777" w:rsidR="0057712B" w:rsidRDefault="0057712B" w:rsidP="0057712B">
      <w:pPr>
        <w:pStyle w:val="RStekst"/>
      </w:pPr>
      <w:r w:rsidRPr="00EE61AD">
        <w:t xml:space="preserve">Vlada </w:t>
      </w:r>
      <w:r>
        <w:t>v okviru pristojnosti predlaganja zakonodaje in sprejemanja drugih pravnih aktov</w:t>
      </w:r>
      <w:r w:rsidRPr="00EE61AD">
        <w:t xml:space="preserve"> ni zagotovila, da bi ureditev obvladovanja DRI zagotavljala uresničitev namena DRI kot </w:t>
      </w:r>
      <w:r>
        <w:t>notranjega</w:t>
      </w:r>
      <w:r w:rsidRPr="00EE61AD">
        <w:t xml:space="preserve"> izvajal</w:t>
      </w:r>
      <w:r>
        <w:t>ca</w:t>
      </w:r>
      <w:r w:rsidRPr="00EE61AD">
        <w:t xml:space="preserve"> za "državo in njene organe"</w:t>
      </w:r>
      <w:r>
        <w:t>, ki jo sestavljajo mnogi javni naročniki</w:t>
      </w:r>
      <w:r w:rsidRPr="00EE61AD">
        <w:t>.</w:t>
      </w:r>
      <w:r>
        <w:t xml:space="preserve"> </w:t>
      </w:r>
      <w:r w:rsidRPr="001D044D">
        <w:t>Vlada je</w:t>
      </w:r>
      <w:r>
        <w:t xml:space="preserve"> sicer</w:t>
      </w:r>
      <w:r w:rsidRPr="001D044D">
        <w:t xml:space="preserve"> oblikovala tako ureditev upravljanja DRI, da jo</w:t>
      </w:r>
      <w:r>
        <w:t xml:space="preserve"> sama</w:t>
      </w:r>
      <w:r w:rsidRPr="001D044D">
        <w:t xml:space="preserve"> v najmanjši možni meri obvladuje podobno kot svoje službe</w:t>
      </w:r>
      <w:r>
        <w:t>, v</w:t>
      </w:r>
      <w:r w:rsidRPr="001D044D">
        <w:t xml:space="preserve">endar nekatera dejstva organizacijsko odvisnost </w:t>
      </w:r>
      <w:r>
        <w:t>ogrožajo</w:t>
      </w:r>
      <w:r w:rsidRPr="001D044D">
        <w:t>.</w:t>
      </w:r>
      <w:r>
        <w:t xml:space="preserve"> </w:t>
      </w:r>
      <w:r w:rsidRPr="005B2E30">
        <w:t>Vlada in ministrstvo</w:t>
      </w:r>
      <w:r>
        <w:t xml:space="preserve"> pa</w:t>
      </w:r>
      <w:r w:rsidRPr="005B2E30">
        <w:t xml:space="preserve"> nista proučila in utemeljila</w:t>
      </w:r>
      <w:r>
        <w:t xml:space="preserve"> pod določenimi pogoji dopustne</w:t>
      </w:r>
      <w:r w:rsidRPr="005B2E30">
        <w:t xml:space="preserve"> možnosti, da</w:t>
      </w:r>
      <w:r>
        <w:t xml:space="preserve"> bi</w:t>
      </w:r>
      <w:r w:rsidRPr="005B2E30">
        <w:t xml:space="preserve"> </w:t>
      </w:r>
      <w:r>
        <w:t>nekateri drugi</w:t>
      </w:r>
      <w:r w:rsidRPr="005B2E30">
        <w:t xml:space="preserve"> javni naročniki, ki </w:t>
      </w:r>
      <w:r>
        <w:t>nimajo vloge pri obvladovanju DRI</w:t>
      </w:r>
      <w:r w:rsidRPr="005219BC">
        <w:t>, smeli</w:t>
      </w:r>
      <w:r>
        <w:t xml:space="preserve"> DRI</w:t>
      </w:r>
      <w:r w:rsidRPr="005219BC">
        <w:t xml:space="preserve"> oddajati posle kot notranjemu izvajalcu, niti tega nista ustrezno uredila v aktu o ustanovitvi DRI ali predlagala ustrezne ureditve v </w:t>
      </w:r>
      <w:r>
        <w:t>drugih</w:t>
      </w:r>
      <w:r w:rsidRPr="005219BC">
        <w:t xml:space="preserve"> predpisih. </w:t>
      </w:r>
      <w:r>
        <w:t xml:space="preserve">Večina </w:t>
      </w:r>
      <w:r w:rsidRPr="005219BC">
        <w:t>javni</w:t>
      </w:r>
      <w:r>
        <w:t>h</w:t>
      </w:r>
      <w:r w:rsidRPr="005219BC">
        <w:t xml:space="preserve"> naročnik</w:t>
      </w:r>
      <w:r>
        <w:t>ov, ki so DRI oddajali posle,</w:t>
      </w:r>
      <w:r w:rsidRPr="005219BC">
        <w:t xml:space="preserve"> nima možnosti zagotoviti in preveriti, ali so</w:t>
      </w:r>
      <w:r>
        <w:t xml:space="preserve"> ti</w:t>
      </w:r>
      <w:r w:rsidRPr="005219BC">
        <w:t xml:space="preserve"> pogoji izpolnjeni</w:t>
      </w:r>
      <w:r>
        <w:t>, zato se te izjeme ne bi smeli posluževati</w:t>
      </w:r>
      <w:r w:rsidRPr="005219BC">
        <w:t>. Poleg tega pa so DRI oddajali posle</w:t>
      </w:r>
      <w:r>
        <w:t xml:space="preserve"> kot notranjemu izvajalcu</w:t>
      </w:r>
      <w:r w:rsidRPr="005219BC">
        <w:t xml:space="preserve"> tudi naročniki, ki </w:t>
      </w:r>
      <w:r>
        <w:t>tega ne bi smeli</w:t>
      </w:r>
      <w:r w:rsidRPr="005219BC">
        <w:t>.</w:t>
      </w:r>
      <w:r>
        <w:t xml:space="preserve"> Del dejavnosti, ki jih je DRI opravila zanje, se torej ne sme šteti k deležu dejavnosti za obvladujoče naročnike. </w:t>
      </w:r>
      <w:r w:rsidRPr="005219BC">
        <w:t xml:space="preserve">Vlada </w:t>
      </w:r>
      <w:r>
        <w:t>posledično</w:t>
      </w:r>
      <w:r w:rsidRPr="005219BC">
        <w:t xml:space="preserve"> ni zagotovila, da bi </w:t>
      </w:r>
      <w:r w:rsidRPr="005219BC">
        <w:lastRenderedPageBreak/>
        <w:t xml:space="preserve">bil izpolnjen pogoj gospodarske odvisnosti, in s tem ni vzpostavila pogojev za dopustnost oddaje </w:t>
      </w:r>
      <w:r>
        <w:br/>
      </w:r>
      <w:r w:rsidRPr="005219BC">
        <w:t>in-</w:t>
      </w:r>
      <w:proofErr w:type="spellStart"/>
      <w:r w:rsidRPr="005219BC">
        <w:t>house</w:t>
      </w:r>
      <w:proofErr w:type="spellEnd"/>
      <w:r w:rsidRPr="005219BC">
        <w:t xml:space="preserve"> poslov DRI.</w:t>
      </w:r>
      <w:r>
        <w:t xml:space="preserve"> </w:t>
      </w:r>
      <w:r w:rsidRPr="005219BC">
        <w:t>Vlada in ministrstvo</w:t>
      </w:r>
      <w:r>
        <w:t xml:space="preserve"> prav tako</w:t>
      </w:r>
      <w:r w:rsidRPr="005219BC">
        <w:t xml:space="preserve"> nista vzpostavila in izvajala nadzora nad izpolnjevanjem pogojev za ohranitev statusa DRI kot notranjega izvajalca.</w:t>
      </w:r>
    </w:p>
    <w:p w14:paraId="395035AA" w14:textId="77777777" w:rsidR="0057712B" w:rsidRDefault="0057712B" w:rsidP="0057712B">
      <w:pPr>
        <w:pStyle w:val="RStekst"/>
      </w:pPr>
      <w:r w:rsidRPr="00F977D3">
        <w:t>Direkcija</w:t>
      </w:r>
      <w:r>
        <w:t xml:space="preserve"> kot največji naročnik storitev</w:t>
      </w:r>
      <w:r w:rsidRPr="00F977D3">
        <w:t xml:space="preserve"> pri oddaji naročil DRI kot notranjemu izvajalcu ni preverila</w:t>
      </w:r>
      <w:r>
        <w:t xml:space="preserve"> in izkazala</w:t>
      </w:r>
      <w:r w:rsidRPr="00F977D3">
        <w:t xml:space="preserve"> izpolnjevanja vseh pogojev</w:t>
      </w:r>
      <w:r>
        <w:t xml:space="preserve"> iz </w:t>
      </w:r>
      <w:proofErr w:type="spellStart"/>
      <w:r>
        <w:t>javnonaročniške</w:t>
      </w:r>
      <w:proofErr w:type="spellEnd"/>
      <w:r>
        <w:t xml:space="preserve"> zakonodaje</w:t>
      </w:r>
      <w:r w:rsidRPr="00F977D3">
        <w:t>.</w:t>
      </w:r>
      <w:r>
        <w:t xml:space="preserve"> </w:t>
      </w:r>
      <w:r w:rsidRPr="00F13D18">
        <w:t>Direkcija</w:t>
      </w:r>
      <w:r>
        <w:t xml:space="preserve"> tudi</w:t>
      </w:r>
      <w:r w:rsidRPr="00F13D18">
        <w:t xml:space="preserve"> ni v celoti</w:t>
      </w:r>
      <w:r>
        <w:t xml:space="preserve"> učinkovito</w:t>
      </w:r>
      <w:r w:rsidRPr="00F13D18">
        <w:t xml:space="preserve"> spremljala in nadzirala izvajanja pogodb, ki jih je sklenila</w:t>
      </w:r>
      <w:r>
        <w:t xml:space="preserve"> z DRI, saj ni oblikovala</w:t>
      </w:r>
      <w:r w:rsidRPr="00F13D18">
        <w:t xml:space="preserve"> takšne notranje or</w:t>
      </w:r>
      <w:r>
        <w:t>ganizacije in sistema načrtovanja, spremljanja in nadzora, ki bi to v celoti zagotavljala. Direkcija ni zagotovila, da bi ji DRI ustrezno poročala o realizaciji investicij na področju železniške infrastrukture in državnih cest. Prav tako ni zagotovila ustreznega načrtovanja finančnih sredstev za izvajanje storitev DRI na področju državnih cest. Direkcija niti na področju javne železniške infrastrukture niti na področju državnih cest ob povečanju dogovorjene urne postavke zaradi inflacije ni preverila, ali je nova cena enaka ali nižja od cen na trgu, poleg tega pa je pri nekaterih izvedbenih pogodbah na področju javne</w:t>
      </w:r>
      <w:r w:rsidRPr="00AD292F">
        <w:t xml:space="preserve"> </w:t>
      </w:r>
      <w:r>
        <w:t>železniške infrastrukture pristala tudi na neupravičeno zvišanje cen.</w:t>
      </w:r>
    </w:p>
    <w:p w14:paraId="55278A8E" w14:textId="77777777" w:rsidR="0057712B" w:rsidRDefault="0057712B" w:rsidP="0057712B">
      <w:pPr>
        <w:pStyle w:val="RStekst"/>
      </w:pPr>
      <w:r w:rsidRPr="00B230FC">
        <w:t xml:space="preserve">DRI kot notranji izvajalec ni zagotovila izpolnjevanja vseh pogojev iz </w:t>
      </w:r>
      <w:proofErr w:type="spellStart"/>
      <w:r w:rsidRPr="00B230FC">
        <w:t>javnonaročniške</w:t>
      </w:r>
      <w:proofErr w:type="spellEnd"/>
      <w:r w:rsidRPr="00B230FC">
        <w:t xml:space="preserve"> zakonodaje.</w:t>
      </w:r>
      <w:r>
        <w:t xml:space="preserve"> DRI ni razpolagala s celovito pravno analizo, katere izmed partnerjev, s katerimi posluje, obvladuje vlada podobno kot svoje službe, da bi se ti prihodki smeli upoštevati pri izračunu pogoja gospodarske odvisnosti. Zato je pri izračunu tega pogoja upoštevala nekatere prihodke, ki jih ne bi smela. Tako DRI ni izpolnjevala pogoja gospodarske odvisnosti. DRI je za preveritev pogoja glede tržnih cen pripravila elaborate, vendar pa je v njih upoštevala predvsem lastne pretekle cene, ne pa tudi cen drugih konkurentov na trgu, in cene nekaterih storitev, ki niso primerljive.</w:t>
      </w:r>
    </w:p>
    <w:p w14:paraId="68FB5495" w14:textId="77777777" w:rsidR="0057712B" w:rsidRDefault="0057712B" w:rsidP="0057712B">
      <w:pPr>
        <w:pStyle w:val="RStekst"/>
      </w:pPr>
      <w:r w:rsidRPr="008B0A74">
        <w:t>DRI</w:t>
      </w:r>
      <w:r>
        <w:t xml:space="preserve"> v svojih</w:t>
      </w:r>
      <w:r w:rsidRPr="008B0A74">
        <w:t xml:space="preserve"> </w:t>
      </w:r>
      <w:r>
        <w:t>strateških in letnih operativnih načrtih ni določno in merljivo opredelila ciljev, povezanih z vlogo notranjega izvajalca. V</w:t>
      </w:r>
      <w:r w:rsidRPr="008B0A74">
        <w:t xml:space="preserve"> preveliki meri </w:t>
      </w:r>
      <w:r>
        <w:t>je</w:t>
      </w:r>
      <w:r w:rsidRPr="008B0A74">
        <w:t xml:space="preserve"> </w:t>
      </w:r>
      <w:r>
        <w:t>zasledovala tržno</w:t>
      </w:r>
      <w:r w:rsidRPr="008B0A74">
        <w:t xml:space="preserve"> usmeritev družbe oziroma skupine, čeprav </w:t>
      </w:r>
      <w:r>
        <w:t xml:space="preserve">to ogroža </w:t>
      </w:r>
      <w:r w:rsidRPr="008B0A74">
        <w:t>izpolnjevanje pogojev za notranjega izvajalca.</w:t>
      </w:r>
      <w:r>
        <w:t xml:space="preserve"> DRI tudi ni vodila ločenega računovodstva, čeprav je izvajala tako pridobitne kot tudi nepridobitne dejavnosti, zaradi česar poslovnega rezultata teh dejavnosti ločeno ni moč preveriti. Prav tako ni ustrezno načrtovala izvedbe pogodbenih nalog in o tem poročala direkciji, v nekaterih primerih pa ji je celo izstavila situacijo, kjer se obračunane ure niso ujemale </w:t>
      </w:r>
      <w:r w:rsidRPr="005B2E30">
        <w:t>z</w:t>
      </w:r>
      <w:r>
        <w:t xml:space="preserve"> evidencami o</w:t>
      </w:r>
      <w:r w:rsidRPr="005B2E30">
        <w:t xml:space="preserve"> dejansko opravljen</w:t>
      </w:r>
      <w:r>
        <w:t>e</w:t>
      </w:r>
      <w:r w:rsidRPr="005B2E30">
        <w:t>m števil</w:t>
      </w:r>
      <w:r>
        <w:t>u</w:t>
      </w:r>
      <w:r w:rsidRPr="005B2E30">
        <w:t xml:space="preserve"> ur</w:t>
      </w:r>
      <w:r>
        <w:t xml:space="preserve">. DRI je nekatere storitve, za katere je sklenila pogodbo kot notranji izvajalec, oddala hčerinski družbi kot podizvajalcu po nižjih cenah, kot jih je zaračunala naročnikom, kar ne sledi namenu oddaje naročil notranjemu izvajalcu. DRI tudi ni </w:t>
      </w:r>
      <w:r w:rsidRPr="00A135EB">
        <w:t>vzpostavila in vodila informacijskega sistema vodenja investicij v</w:t>
      </w:r>
      <w:r>
        <w:t xml:space="preserve"> javno</w:t>
      </w:r>
      <w:r w:rsidRPr="00A135EB">
        <w:t xml:space="preserve"> železniško infrastrukturo</w:t>
      </w:r>
      <w:r>
        <w:t>.</w:t>
      </w:r>
    </w:p>
    <w:p w14:paraId="0CE8C0A8" w14:textId="77777777" w:rsidR="0057712B" w:rsidRDefault="0057712B" w:rsidP="0057712B">
      <w:pPr>
        <w:pStyle w:val="RStekst"/>
      </w:pPr>
      <w:r>
        <w:t xml:space="preserve">Računsko sodišče je od </w:t>
      </w:r>
      <w:proofErr w:type="spellStart"/>
      <w:r>
        <w:t>revidirancev</w:t>
      </w:r>
      <w:proofErr w:type="spellEnd"/>
      <w:r>
        <w:t xml:space="preserve"> </w:t>
      </w:r>
      <w:bookmarkStart w:id="0" w:name="_GoBack"/>
      <w:r w:rsidRPr="00584496">
        <w:t>zahtevalo</w:t>
      </w:r>
      <w:r w:rsidRPr="00CF4F1F">
        <w:rPr>
          <w:b/>
        </w:rPr>
        <w:t xml:space="preserve"> </w:t>
      </w:r>
      <w:bookmarkEnd w:id="0"/>
      <w:r w:rsidRPr="00CF4F1F">
        <w:rPr>
          <w:b/>
        </w:rPr>
        <w:t>predložitev odzivnih poročil</w:t>
      </w:r>
      <w:r>
        <w:t xml:space="preserve"> in jim za izboljšanje poslovanja podalo več </w:t>
      </w:r>
      <w:r w:rsidRPr="00CF4F1F">
        <w:rPr>
          <w:b/>
        </w:rPr>
        <w:t>priporočil</w:t>
      </w:r>
      <w:r w:rsidRPr="002C15CD">
        <w:rPr>
          <w:b/>
        </w:rPr>
        <w:t>.</w:t>
      </w:r>
      <w:r>
        <w:t xml:space="preserve"> </w:t>
      </w:r>
    </w:p>
    <w:p w14:paraId="5424E38D" w14:textId="7B5D1793" w:rsidR="00C572B5" w:rsidRDefault="0057712B" w:rsidP="003D1FAE">
      <w:pPr>
        <w:pStyle w:val="RStekst"/>
      </w:pPr>
      <w:r>
        <w:t xml:space="preserve">Po koncu revizijskega obdobja je prišlo do sprememb v upravljavskem okviru DRI, saj s kapitalsko naložbo Republike Slovenije v DRI nič več ne upravlja vlada, temveč </w:t>
      </w:r>
      <w:r w:rsidRPr="002B1B72">
        <w:t xml:space="preserve">Slovenski državni holding, </w:t>
      </w:r>
      <w:proofErr w:type="spellStart"/>
      <w:r w:rsidRPr="002B1B72">
        <w:t>d.d</w:t>
      </w:r>
      <w:proofErr w:type="spellEnd"/>
      <w:r>
        <w:t>. Te spremembe niso bile predmet revizijskih pregledov in niso vplivale na izrek mnenja. Ker pa predstavljajo tveganje, da namen ustanovitve DRI kot notranjega izvajalca ne bo dosežen, je računsko sodišče nanje opozorilo v revizijskem poročilu in z dopisom vladi, ministrstvu in</w:t>
      </w:r>
      <w:r w:rsidRPr="00111707">
        <w:t xml:space="preserve"> </w:t>
      </w:r>
      <w:r>
        <w:t>Slovenskemu državnemu</w:t>
      </w:r>
      <w:r w:rsidRPr="002B1B72">
        <w:t xml:space="preserve"> holding</w:t>
      </w:r>
      <w:r>
        <w:t>u</w:t>
      </w:r>
      <w:r w:rsidRPr="002B1B72">
        <w:t xml:space="preserve">, </w:t>
      </w:r>
      <w:proofErr w:type="spellStart"/>
      <w:r w:rsidRPr="002B1B72">
        <w:t>d.d</w:t>
      </w:r>
      <w:proofErr w:type="spellEnd"/>
      <w:r>
        <w:t>.</w:t>
      </w:r>
    </w:p>
    <w:p w14:paraId="35897DF7" w14:textId="7E164C41" w:rsidR="008629A2" w:rsidRDefault="008629A2" w:rsidP="008629A2">
      <w:pPr>
        <w:pStyle w:val="RStekst"/>
      </w:pPr>
      <w:r>
        <w:t xml:space="preserve">Ljubljana, </w:t>
      </w:r>
      <w:r w:rsidR="00CD1437">
        <w:t>17. junija 2024</w:t>
      </w:r>
    </w:p>
    <w:sectPr w:rsidR="008629A2" w:rsidSect="000A0B85">
      <w:headerReference w:type="default" r:id="rId10"/>
      <w:footerReference w:type="even" r:id="rId11"/>
      <w:footerReference w:type="default" r:id="rId12"/>
      <w:headerReference w:type="first" r:id="rId13"/>
      <w:footerReference w:type="first" r:id="rId14"/>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364955130"/>
      <w:docPartObj>
        <w:docPartGallery w:val="Page Numbers (Bottom of Page)"/>
        <w:docPartUnique/>
      </w:docPartObj>
    </w:sdtPr>
    <w:sdtEndPr>
      <w:rPr>
        <w:rStyle w:val="tevilkastrani"/>
        <w:szCs w:val="17"/>
      </w:rPr>
    </w:sdtEndPr>
    <w:sdtContent>
      <w:p w14:paraId="3EC5A8E8" w14:textId="711A6A6A"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584496">
          <w:rPr>
            <w:rStyle w:val="tevilkastrani"/>
            <w:noProof/>
          </w:rPr>
          <w:t>2</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111191425"/>
      <w:docPartObj>
        <w:docPartGallery w:val="Page Numbers (Bottom of Page)"/>
        <w:docPartUnique/>
      </w:docPartObj>
    </w:sdtPr>
    <w:sdtEndPr>
      <w:rPr>
        <w:rStyle w:val="Privzetapisavaodstavka"/>
      </w:rPr>
    </w:sdtEndPr>
    <w:sdtContent>
      <w:p w14:paraId="24C84D14" w14:textId="37E1A7D5"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584496">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0A758" w14:textId="1684F230" w:rsidR="00530CDC" w:rsidRPr="00253177" w:rsidRDefault="00530CDC" w:rsidP="009251E1">
    <w:pPr>
      <w:tabs>
        <w:tab w:val="left" w:pos="3969"/>
      </w:tabs>
      <w:spacing w:line="240" w:lineRule="exac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35633" w14:textId="77777777" w:rsidR="001E31A7" w:rsidRPr="00D92D47" w:rsidRDefault="001E31A7" w:rsidP="001E31A7">
    <w:pPr>
      <w:tabs>
        <w:tab w:val="left" w:pos="3969"/>
      </w:tabs>
      <w:spacing w:line="240" w:lineRule="exact"/>
      <w:rPr>
        <w:sz w:val="16"/>
        <w:szCs w:val="16"/>
      </w:rPr>
    </w:pPr>
    <w:r>
      <w:rPr>
        <w:sz w:val="16"/>
        <w:szCs w:val="16"/>
      </w:rPr>
      <w:t>Računsko sodišče Republike Slovenije</w:t>
    </w:r>
    <w:r w:rsidRPr="00493842">
      <w:rPr>
        <w:noProof/>
        <w:sz w:val="16"/>
        <w:szCs w:val="16"/>
        <w:lang w:eastAsia="sl-SI"/>
      </w:rPr>
      <w:t xml:space="preserve"> </w:t>
    </w:r>
    <w:r>
      <w:rPr>
        <w:noProof/>
        <w:sz w:val="16"/>
        <w:szCs w:val="16"/>
        <w:lang w:eastAsia="sl-SI"/>
      </w:rPr>
      <w:tab/>
    </w:r>
    <w:r w:rsidRPr="00D92D47">
      <w:rPr>
        <w:sz w:val="16"/>
        <w:szCs w:val="16"/>
      </w:rPr>
      <w:t>T: 01 478 58 00</w:t>
    </w:r>
    <w:r w:rsidRPr="00D92D47">
      <w:rPr>
        <w:noProof/>
        <w:sz w:val="16"/>
        <w:szCs w:val="16"/>
        <w:lang w:eastAsia="sl-SI"/>
      </w:rPr>
      <w:br/>
    </w:r>
    <w:r w:rsidRPr="00D92D47">
      <w:rPr>
        <w:noProof/>
        <w:sz w:val="16"/>
        <w:szCs w:val="16"/>
        <w:lang w:eastAsia="sl-SI"/>
      </w:rPr>
      <w:drawing>
        <wp:anchor distT="0" distB="0" distL="114300" distR="114300" simplePos="0" relativeHeight="251659264" behindDoc="0" locked="1" layoutInCell="1" allowOverlap="1" wp14:anchorId="026DFAFF" wp14:editId="5042B871">
          <wp:simplePos x="0" y="0"/>
          <wp:positionH relativeFrom="page">
            <wp:posOffset>558165</wp:posOffset>
          </wp:positionH>
          <wp:positionV relativeFrom="topMargin">
            <wp:posOffset>648335</wp:posOffset>
          </wp:positionV>
          <wp:extent cx="1897200" cy="324000"/>
          <wp:effectExtent l="0" t="0" r="8255" b="0"/>
          <wp:wrapTopAndBottom/>
          <wp:docPr id="4" name="Slika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Slovenska cesta 50, 1000</w:t>
    </w:r>
    <w:r w:rsidRPr="00D92D47">
      <w:rPr>
        <w:sz w:val="16"/>
        <w:szCs w:val="16"/>
      </w:rPr>
      <w:t xml:space="preserve"> Ljubljana</w:t>
    </w:r>
    <w:r w:rsidRPr="00D92D47">
      <w:rPr>
        <w:sz w:val="16"/>
        <w:szCs w:val="16"/>
      </w:rPr>
      <w:tab/>
    </w:r>
    <w:r w:rsidRPr="00D92D47">
      <w:rPr>
        <w:sz w:val="16"/>
        <w:szCs w:val="16"/>
      </w:rPr>
      <w:tab/>
      <w:t>E: sloaud@rs-rs.si</w:t>
    </w:r>
  </w:p>
  <w:p w14:paraId="72FA2CF8" w14:textId="3C5EBB37" w:rsidR="00AE7E48" w:rsidRPr="001E31A7" w:rsidRDefault="001E31A7" w:rsidP="001E31A7">
    <w:pPr>
      <w:tabs>
        <w:tab w:val="left" w:pos="3969"/>
      </w:tabs>
      <w:spacing w:line="240" w:lineRule="exact"/>
      <w:ind w:left="1" w:firstLine="1"/>
      <w:rPr>
        <w:b/>
      </w:rPr>
    </w:pPr>
    <w:r w:rsidRPr="00D92D47">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abstractNumId w:val="18"/>
  </w:num>
  <w:num w:numId="2">
    <w:abstractNumId w:val="11"/>
  </w:num>
  <w:num w:numId="3">
    <w:abstractNumId w:val="19"/>
    <w:lvlOverride w:ilvl="0">
      <w:startOverride w:val="1"/>
    </w:lvlOverride>
  </w:num>
  <w:num w:numId="4">
    <w:abstractNumId w:val="22"/>
  </w:num>
  <w:num w:numId="5">
    <w:abstractNumId w:val="4"/>
  </w:num>
  <w:num w:numId="6">
    <w:abstractNumId w:val="16"/>
  </w:num>
  <w:num w:numId="7">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abstractNumId w:val="12"/>
  </w:num>
  <w:num w:numId="9">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abstractNumId w:val="10"/>
  </w:num>
  <w:num w:numId="11">
    <w:abstractNumId w:val="1"/>
  </w:num>
  <w:num w:numId="12">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abstractNumId w:val="14"/>
  </w:num>
  <w:num w:numId="14">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abstractNumId w:val="9"/>
  </w:num>
  <w:num w:numId="16">
    <w:abstractNumId w:val="17"/>
  </w:num>
  <w:num w:numId="17">
    <w:abstractNumId w:val="13"/>
  </w:num>
  <w:num w:numId="18">
    <w:abstractNumId w:val="21"/>
  </w:num>
  <w:num w:numId="19">
    <w:abstractNumId w:val="2"/>
  </w:num>
  <w:num w:numId="20">
    <w:abstractNumId w:val="7"/>
  </w:num>
  <w:num w:numId="21">
    <w:abstractNumId w:val="3"/>
  </w:num>
  <w:num w:numId="22">
    <w:abstractNumId w:val="23"/>
  </w:num>
  <w:num w:numId="23">
    <w:abstractNumId w:val="6"/>
  </w:num>
  <w:num w:numId="24">
    <w:abstractNumId w:val="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mirrorMargins/>
  <w:hideSpelling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10"/>
    <w:rsid w:val="00005B9B"/>
    <w:rsid w:val="00014747"/>
    <w:rsid w:val="0002652C"/>
    <w:rsid w:val="000364C4"/>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7712B"/>
    <w:rsid w:val="00584496"/>
    <w:rsid w:val="00587344"/>
    <w:rsid w:val="005A0CE8"/>
    <w:rsid w:val="005A11D2"/>
    <w:rsid w:val="005A4A15"/>
    <w:rsid w:val="005B475F"/>
    <w:rsid w:val="005D4959"/>
    <w:rsid w:val="005E0F21"/>
    <w:rsid w:val="00624347"/>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CD1437"/>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qFormat/>
    <w:rsid w:val="00C64EFF"/>
    <w:pPr>
      <w:keepLines/>
      <w:numPr>
        <w:numId w:val="8"/>
      </w:numPr>
      <w:spacing w:before="0" w:after="40"/>
    </w:pPr>
    <w:rPr>
      <w:bCs w:val="0"/>
    </w:rPr>
  </w:style>
  <w:style w:type="paragraph" w:customStyle="1" w:styleId="RSnatevanje2">
    <w:name w:val="RS naštevanje 2"/>
    <w:basedOn w:val="RSnatevanje"/>
    <w:link w:val="RSnatevanje2Znak"/>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rsid w:val="00C64EFF"/>
    <w:rPr>
      <w:rFonts w:asciiTheme="minorHAnsi" w:hAnsiTheme="minorHAnsi"/>
      <w:lang w:eastAsia="en-US"/>
    </w:rPr>
  </w:style>
  <w:style w:type="paragraph" w:customStyle="1" w:styleId="RSnatevanje3">
    <w:name w:val="RS naštevanje 3"/>
    <w:basedOn w:val="RSnatevanje2"/>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1"/>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00FFD-028A-4A29-AEB9-CF2058308C2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e3d3dff-4392-4e99-aebd-c95b4ee1afdd"/>
    <ds:schemaRef ds:uri="http://www.w3.org/XML/1998/namespace"/>
  </ds:schemaRefs>
</ds:datastoreItem>
</file>

<file path=customXml/itemProps2.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C1545-3662-4056-800C-B75872608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6233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2024-06-14T09:38:00Z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