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154FDD42" w:rsidR="008629A2" w:rsidRDefault="008629A2" w:rsidP="0010701A">
      <w:pPr>
        <w:pStyle w:val="RSGLAVNINASLOV"/>
        <w:spacing w:after="120"/>
        <w:rPr>
          <w:spacing w:val="-2"/>
        </w:rPr>
      </w:pPr>
      <w:r w:rsidRPr="009176A9">
        <w:rPr>
          <w:spacing w:val="-2"/>
        </w:rPr>
        <w:t>Povzetek revizijskega poročila</w:t>
      </w:r>
      <w:r w:rsidR="0010701A">
        <w:rPr>
          <w:spacing w:val="-2"/>
        </w:rPr>
        <w:br/>
      </w:r>
      <w:r w:rsidR="0010701A" w:rsidRPr="0010701A">
        <w:rPr>
          <w:spacing w:val="-2"/>
        </w:rPr>
        <w:t>Uresničevanje javnega interesa na področju investicij v javno bazensko infrastrukturo</w:t>
      </w:r>
    </w:p>
    <w:p w14:paraId="6163F645" w14:textId="76813D63" w:rsidR="0010701A" w:rsidRPr="0010701A" w:rsidRDefault="0010701A" w:rsidP="0010701A">
      <w:pPr>
        <w:pStyle w:val="RStekst"/>
        <w:rPr>
          <w:rFonts w:asciiTheme="majorHAnsi" w:hAnsiTheme="majorHAnsi" w:cstheme="majorHAnsi"/>
          <w:b/>
          <w:i/>
          <w:iCs/>
          <w:spacing w:val="-2"/>
          <w:sz w:val="30"/>
          <w:szCs w:val="32"/>
        </w:rPr>
      </w:pPr>
      <w:r w:rsidRPr="0010701A">
        <w:rPr>
          <w:rFonts w:asciiTheme="majorHAnsi" w:hAnsiTheme="majorHAnsi" w:cstheme="majorHAnsi"/>
          <w:b/>
          <w:i/>
          <w:iCs/>
          <w:spacing w:val="-2"/>
          <w:sz w:val="30"/>
          <w:szCs w:val="32"/>
        </w:rPr>
        <w:t>Investicija Mestne občine Slovenj Gradec</w:t>
      </w:r>
    </w:p>
    <w:p w14:paraId="65532CB4" w14:textId="77777777" w:rsidR="0010701A" w:rsidRPr="00A05C6C" w:rsidRDefault="0010701A" w:rsidP="0010701A">
      <w:pPr>
        <w:pStyle w:val="RStekst"/>
      </w:pPr>
      <w:r w:rsidRPr="00A05C6C">
        <w:t xml:space="preserve">Računsko sodišče je izvedlo revizijo smotrnosti </w:t>
      </w:r>
      <w:r w:rsidRPr="00A05C6C">
        <w:rPr>
          <w:b/>
        </w:rPr>
        <w:t xml:space="preserve">Mestne občine Slovenj Gradec </w:t>
      </w:r>
      <w:r w:rsidRPr="00A05C6C">
        <w:t>(v nadaljevanju: občina) pri uresničevanju javnega interesa na področju investicij v javno bazensko infrastrukturo v obdobju od 1. 1. 2018 do 31. 12. 2023 in pri tem preverilo, ali je občina določila in dosegla cilje</w:t>
      </w:r>
      <w:r>
        <w:t>,</w:t>
      </w:r>
      <w:r w:rsidRPr="00A05C6C">
        <w:t xml:space="preserve"> povezane z uresničevanjem javnega interesa na področju investicij v javno bazensko infrastrukturo</w:t>
      </w:r>
      <w:r>
        <w:t>,</w:t>
      </w:r>
      <w:r w:rsidRPr="00A05C6C">
        <w:t xml:space="preserve"> ter navedene investicije strateško in operativno načrtovala in izvedla v skladu z načrtom.</w:t>
      </w:r>
    </w:p>
    <w:p w14:paraId="42E6D766" w14:textId="77777777" w:rsidR="0010701A" w:rsidRPr="0010701A" w:rsidRDefault="0010701A" w:rsidP="0010701A">
      <w:pPr>
        <w:pStyle w:val="RStekst"/>
        <w:rPr>
          <w:b/>
        </w:rPr>
      </w:pPr>
      <w:r w:rsidRPr="00A05C6C">
        <w:t xml:space="preserve">Računsko sodišče je podalo mnenje, da je bila občina pri uresničevanju javnega interesa na področju investicij v javno bazensko infrastrukturo </w:t>
      </w:r>
      <w:r w:rsidRPr="0010701A">
        <w:rPr>
          <w:rStyle w:val="RStekstBoldbarva"/>
          <w:color w:val="auto"/>
        </w:rPr>
        <w:t>uspešna in delno učinkovita.</w:t>
      </w:r>
    </w:p>
    <w:p w14:paraId="2CE22E03" w14:textId="77777777" w:rsidR="0010701A" w:rsidRPr="00A05C6C" w:rsidRDefault="0010701A" w:rsidP="0010701A">
      <w:pPr>
        <w:pStyle w:val="RStekst"/>
      </w:pPr>
      <w:r w:rsidRPr="00A05C6C">
        <w:t xml:space="preserve">Revizija občine je ena </w:t>
      </w:r>
      <w:r>
        <w:t>izmed</w:t>
      </w:r>
      <w:r w:rsidRPr="00A05C6C">
        <w:t xml:space="preserve"> prečnih revizij smotrnosti pri uresničevanju javnega interesa na področju investicij v javno bazensko infrastrukturo izbranih občin, ki so bile opravljene vzporedno z revizijo učinkovitosti ministrstva, pristojnega za šport</w:t>
      </w:r>
      <w:r>
        <w:t>,</w:t>
      </w:r>
      <w:r w:rsidRPr="00A05C6C">
        <w:t xml:space="preserve"> in Fundacije za financiranje športnih organizacij v Republiki Sloveniji z namenom opozoriti na problematiko uresničevanja javnega interesa na področju investicij v športno infrastrukturo.</w:t>
      </w:r>
    </w:p>
    <w:p w14:paraId="7C0BE747" w14:textId="77777777" w:rsidR="0010701A" w:rsidRPr="00A05C6C" w:rsidRDefault="0010701A" w:rsidP="0010701A">
      <w:pPr>
        <w:pStyle w:val="RStekst"/>
      </w:pPr>
      <w:r w:rsidRPr="00A05C6C">
        <w:t xml:space="preserve">Izgradnja novega bazena je bila izvedena v okviru projekta sanacije degradiranega območja, ki je vključevalo nekdanje letno kopališče. Občina je projekt načrtovala v okviru trajnostne strategije ter za njegovo izvedbo pridobila tudi evropska sredstva. </w:t>
      </w:r>
    </w:p>
    <w:p w14:paraId="6FB485DA" w14:textId="77777777" w:rsidR="0010701A" w:rsidRPr="00A05C6C" w:rsidRDefault="0010701A" w:rsidP="0010701A">
      <w:pPr>
        <w:pStyle w:val="RStekst"/>
      </w:pPr>
      <w:r w:rsidRPr="00A05C6C">
        <w:t xml:space="preserve">Projekt sanacije degradiranega območja je bil opredeljen v sklopu strateškega cilja "privlačno mesto" in med prednostnimi usmeritvami "oblikovanje novih zelenih javnih odprtih površin v mestu" ter "izboljšanje možnosti za kakovostno preživljanje prostega časa". Za projekt so bili opredeljeni splošni, specifični in operativni cilji, za njihovo merjenje in spremljanje </w:t>
      </w:r>
      <w:proofErr w:type="spellStart"/>
      <w:r w:rsidRPr="00A05C6C">
        <w:t>uresničenosti</w:t>
      </w:r>
      <w:proofErr w:type="spellEnd"/>
      <w:r w:rsidRPr="00A05C6C">
        <w:t xml:space="preserve"> pa so bili določeni ustrezno ovrednoteni kazalniki. Doseganje njihove ciljne vrednosti je bilo pogoj za pridobitev </w:t>
      </w:r>
      <w:r>
        <w:t>evropskih</w:t>
      </w:r>
      <w:r w:rsidRPr="00A05C6C">
        <w:t xml:space="preserve"> sredstev. </w:t>
      </w:r>
    </w:p>
    <w:p w14:paraId="7B7FEE28" w14:textId="77777777" w:rsidR="0010701A" w:rsidRPr="00A05C6C" w:rsidRDefault="0010701A" w:rsidP="0010701A">
      <w:pPr>
        <w:pStyle w:val="RStekst"/>
      </w:pPr>
      <w:r w:rsidRPr="00A05C6C">
        <w:t>Občina ni pripravila posebne strategije športa, je pa to področje obravnavala v okviru trajnostne strategije. Stanje na področju športa in športne infrastrukture je analizirala obdobno, vsakih 5 let. Potreb na področju športa in športne infrastrukture ob pripravi analiz stanja na področju športa ni ocenjevala. Z zainteresiranimi deležniki, uporabniki športne infrastrukture, je sodelovala po potrebi, ob pripravi letnih načrtov športa</w:t>
      </w:r>
      <w:r>
        <w:t xml:space="preserve"> in</w:t>
      </w:r>
      <w:r w:rsidRPr="00A05C6C">
        <w:t xml:space="preserve"> na neformalen način. </w:t>
      </w:r>
    </w:p>
    <w:p w14:paraId="75E07F5F" w14:textId="77777777" w:rsidR="0010701A" w:rsidRPr="00A05C6C" w:rsidRDefault="0010701A" w:rsidP="0010701A">
      <w:pPr>
        <w:pStyle w:val="RStekst"/>
      </w:pPr>
      <w:r w:rsidRPr="00A05C6C">
        <w:t xml:space="preserve">Projekt sanacije degradiranega območja je bil načrtovan v letnih proračunih in tudi v načrtu razvojnih programov, za proračunska leta od 2017 do 2023. Iz slednjih niso bile razvidne obrazložitve vrednosti investicije v posameznem letu. Finančni prikaz investicij v športno infrastrukturo, tako tudi projekt izgradnje bazenov, ni bil vključen v letne programe športa. </w:t>
      </w:r>
    </w:p>
    <w:p w14:paraId="40834FAE" w14:textId="77777777" w:rsidR="0010701A" w:rsidRPr="00A05C6C" w:rsidRDefault="0010701A" w:rsidP="0010701A">
      <w:pPr>
        <w:pStyle w:val="RStekst"/>
      </w:pPr>
      <w:r w:rsidRPr="00A05C6C">
        <w:lastRenderedPageBreak/>
        <w:t>Za izvedbo investicije je občina zagotovila celotno investicijsko dokumentacijo, ki je vsebovala podatke in analize za sprejem odločitve o izvedbi investicije. Investicijska dokumentacija je bila ustrezno novelirana ob vseh ključnih spremembah, povezanih z investicijo.</w:t>
      </w:r>
    </w:p>
    <w:p w14:paraId="08949CE8" w14:textId="77777777" w:rsidR="0010701A" w:rsidRPr="00A05C6C" w:rsidRDefault="0010701A" w:rsidP="0010701A">
      <w:pPr>
        <w:pStyle w:val="RStekst"/>
      </w:pPr>
      <w:r w:rsidRPr="00773F67">
        <w:t>Pogodbena vrednost za izvedbo investicije sklopa 1, ki obsega izgradnjo zimskega in letnega bazenskega kompleksa z opremo, je znašala 9.737.586 EUR z DDV</w:t>
      </w:r>
      <w:r>
        <w:t>.</w:t>
      </w:r>
      <w:r w:rsidRPr="00A05C6C">
        <w:t xml:space="preserve"> Med izvajanjem projekta so bili zaradi dodatnih dogovorjenih del h gradbeni pogodbi sklenjeni ustrezni aneksi</w:t>
      </w:r>
      <w:r w:rsidRPr="00773F67">
        <w:t>, tako da je pogodbena vrednost investicije znašala 10.364.490 EUR z DDV</w:t>
      </w:r>
      <w:r>
        <w:t>.</w:t>
      </w:r>
      <w:r w:rsidRPr="00A05C6C">
        <w:t xml:space="preserve"> </w:t>
      </w:r>
    </w:p>
    <w:p w14:paraId="485429D3" w14:textId="77777777" w:rsidR="0010701A" w:rsidRPr="00A05C6C" w:rsidRDefault="0010701A" w:rsidP="0010701A">
      <w:pPr>
        <w:pStyle w:val="RStekst"/>
      </w:pPr>
      <w:r w:rsidRPr="00A05C6C">
        <w:t>Rok zaključka projekta je bil prvotno načrtovan leta 2020, ki pa se je zaradi zahtevnih postopkov izvedbe javn</w:t>
      </w:r>
      <w:r>
        <w:t>ega</w:t>
      </w:r>
      <w:r w:rsidRPr="00A05C6C">
        <w:t xml:space="preserve"> naročil</w:t>
      </w:r>
      <w:r>
        <w:t>a</w:t>
      </w:r>
      <w:r w:rsidRPr="00A05C6C">
        <w:t xml:space="preserve"> ter vpliva epidemije </w:t>
      </w:r>
      <w:r>
        <w:t>covida-19</w:t>
      </w:r>
      <w:r w:rsidRPr="00A05C6C">
        <w:t xml:space="preserve"> premaknil v leto 2022. O izvedbi investicije je občina sprotno poročala v poslovnih poročilih v okviru zaključnih računov</w:t>
      </w:r>
      <w:r>
        <w:t xml:space="preserve"> proračuna</w:t>
      </w:r>
      <w:r w:rsidRPr="00A05C6C">
        <w:t xml:space="preserve">, vendar pri tem ni v celoti sledila zahtevam po Uredbi o enotni metodologiji za pripravo in obravnavo investicijske dokumentacije na področju javnih financ. Julija 2022 je bilo pridobljeno uporabno dovoljenje in s tem je bila investicija </w:t>
      </w:r>
      <w:r>
        <w:t>v</w:t>
      </w:r>
      <w:r w:rsidRPr="00D251F7">
        <w:t xml:space="preserve"> vrednosti 9.908.771 EUR</w:t>
      </w:r>
      <w:r w:rsidRPr="00A05C6C">
        <w:t xml:space="preserve"> zaključena. Doseženi so bili vsi predvideni operativni cilji, s čimer je občina prispevala tudi k uresničitvi specifičnih in splošnih ciljev projekta. Občina je o doseganju ciljev ob zaključku projekta ustrezno poročala. </w:t>
      </w:r>
    </w:p>
    <w:p w14:paraId="21CC44C3" w14:textId="5FD570AC" w:rsidR="003D1FAE" w:rsidRDefault="0010701A" w:rsidP="0010701A">
      <w:pPr>
        <w:pStyle w:val="RStekst"/>
      </w:pPr>
      <w:r w:rsidRPr="00A05C6C">
        <w:t xml:space="preserve">Računsko sodišče je občini </w:t>
      </w:r>
      <w:r w:rsidRPr="0010701A">
        <w:rPr>
          <w:bCs w:val="0"/>
        </w:rPr>
        <w:t>podalo</w:t>
      </w:r>
      <w:r w:rsidRPr="00A05C6C">
        <w:rPr>
          <w:b/>
        </w:rPr>
        <w:t xml:space="preserve"> priporočila</w:t>
      </w:r>
      <w:r w:rsidRPr="00A05C6C">
        <w:t>, ni pa zahtevalo predložitve odzivnega poročila.</w:t>
      </w:r>
    </w:p>
    <w:p w14:paraId="5424E38D" w14:textId="77777777" w:rsidR="00C572B5" w:rsidRDefault="00C572B5" w:rsidP="003D1FAE">
      <w:pPr>
        <w:pStyle w:val="RStekst"/>
      </w:pPr>
    </w:p>
    <w:p w14:paraId="35897DF7" w14:textId="0DF57AA3" w:rsidR="008629A2" w:rsidRDefault="008629A2" w:rsidP="008629A2">
      <w:pPr>
        <w:pStyle w:val="RStekst"/>
      </w:pPr>
      <w:r>
        <w:t xml:space="preserve">Ljubljana, </w:t>
      </w:r>
      <w:r w:rsidR="0010701A">
        <w:t>19. decembra 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44C80" w14:textId="77777777" w:rsidR="0010701A" w:rsidRPr="00953FA7" w:rsidRDefault="0010701A" w:rsidP="0010701A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405F0D4" wp14:editId="32F4D9A5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74B7A370" w14:textId="77777777" w:rsidR="0010701A" w:rsidRPr="00284348" w:rsidRDefault="0010701A" w:rsidP="0010701A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801389175">
    <w:abstractNumId w:val="18"/>
  </w:num>
  <w:num w:numId="2" w16cid:durableId="1022170149">
    <w:abstractNumId w:val="11"/>
  </w:num>
  <w:num w:numId="3" w16cid:durableId="1485465738">
    <w:abstractNumId w:val="19"/>
    <w:lvlOverride w:ilvl="0">
      <w:startOverride w:val="1"/>
    </w:lvlOverride>
  </w:num>
  <w:num w:numId="4" w16cid:durableId="1195772118">
    <w:abstractNumId w:val="22"/>
  </w:num>
  <w:num w:numId="5" w16cid:durableId="1742285394">
    <w:abstractNumId w:val="4"/>
  </w:num>
  <w:num w:numId="6" w16cid:durableId="1041515931">
    <w:abstractNumId w:val="16"/>
  </w:num>
  <w:num w:numId="7" w16cid:durableId="1899323289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1778452441">
    <w:abstractNumId w:val="12"/>
  </w:num>
  <w:num w:numId="9" w16cid:durableId="2044865123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160733732">
    <w:abstractNumId w:val="10"/>
  </w:num>
  <w:num w:numId="11" w16cid:durableId="931352400">
    <w:abstractNumId w:val="1"/>
  </w:num>
  <w:num w:numId="12" w16cid:durableId="195388923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67280611">
    <w:abstractNumId w:val="14"/>
  </w:num>
  <w:num w:numId="14" w16cid:durableId="1339381220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939332409">
    <w:abstractNumId w:val="9"/>
  </w:num>
  <w:num w:numId="16" w16cid:durableId="1054961144">
    <w:abstractNumId w:val="17"/>
  </w:num>
  <w:num w:numId="17" w16cid:durableId="854539611">
    <w:abstractNumId w:val="13"/>
  </w:num>
  <w:num w:numId="18" w16cid:durableId="2120448956">
    <w:abstractNumId w:val="21"/>
  </w:num>
  <w:num w:numId="19" w16cid:durableId="108665451">
    <w:abstractNumId w:val="2"/>
  </w:num>
  <w:num w:numId="20" w16cid:durableId="910888534">
    <w:abstractNumId w:val="7"/>
  </w:num>
  <w:num w:numId="21" w16cid:durableId="1329552589">
    <w:abstractNumId w:val="3"/>
  </w:num>
  <w:num w:numId="22" w16cid:durableId="1203590587">
    <w:abstractNumId w:val="23"/>
  </w:num>
  <w:num w:numId="23" w16cid:durableId="1400202319">
    <w:abstractNumId w:val="6"/>
  </w:num>
  <w:num w:numId="24" w16cid:durableId="1471939019">
    <w:abstractNumId w:val="5"/>
  </w:num>
  <w:num w:numId="25" w16cid:durableId="14422645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5081909">
    <w:abstractNumId w:val="0"/>
  </w:num>
  <w:num w:numId="27" w16cid:durableId="96882417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0701A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8BB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3F64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www.w3.org/XML/1998/namespace"/>
    <ds:schemaRef ds:uri="http://purl.org/dc/elements/1.1/"/>
    <ds:schemaRef ds:uri="1e3d3dff-4392-4e99-aebd-c95b4ee1afdd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2024-12-19T10:09:00Z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