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C8CC6" w14:textId="77777777" w:rsidR="004B1F62" w:rsidRPr="004B1F62" w:rsidRDefault="008629A2" w:rsidP="004B1F62">
      <w:pPr>
        <w:pStyle w:val="RSGLAVNINASLOV"/>
        <w:spacing w:after="120"/>
        <w:rPr>
          <w:spacing w:val="-2"/>
        </w:rPr>
      </w:pPr>
      <w:r w:rsidRPr="009176A9">
        <w:rPr>
          <w:spacing w:val="-2"/>
        </w:rPr>
        <w:t>Povzetek revizijskega poročila</w:t>
      </w:r>
      <w:r w:rsidR="004B1F62">
        <w:rPr>
          <w:spacing w:val="-2"/>
        </w:rPr>
        <w:br/>
      </w:r>
      <w:r w:rsidR="004B1F62" w:rsidRPr="004B1F62">
        <w:rPr>
          <w:spacing w:val="-2"/>
        </w:rPr>
        <w:t>Uresničevanje javnega interesa na področju investicij v javno bazensko infrastrukturo</w:t>
      </w:r>
    </w:p>
    <w:p w14:paraId="60093FF4" w14:textId="2302FBE5" w:rsidR="008629A2" w:rsidRPr="00B42BED" w:rsidRDefault="004B1F62" w:rsidP="004B1F62">
      <w:pPr>
        <w:pStyle w:val="RSGLAVNINASLOV"/>
        <w:spacing w:before="120"/>
        <w:rPr>
          <w:i/>
          <w:iCs/>
          <w:spacing w:val="-2"/>
        </w:rPr>
      </w:pPr>
      <w:r w:rsidRPr="00B42BED">
        <w:rPr>
          <w:i/>
          <w:iCs/>
          <w:spacing w:val="-2"/>
        </w:rPr>
        <w:t>Investiciji Mestne občine Ljubljana</w:t>
      </w:r>
      <w:r w:rsidR="008629A2" w:rsidRPr="00B42BED">
        <w:rPr>
          <w:i/>
          <w:iCs/>
          <w:spacing w:val="-2"/>
        </w:rPr>
        <w:t xml:space="preserve"> </w:t>
      </w:r>
    </w:p>
    <w:p w14:paraId="7155E4B8" w14:textId="77777777" w:rsidR="004B1F62" w:rsidRDefault="004B1F62" w:rsidP="004B1F62">
      <w:pPr>
        <w:pStyle w:val="RStekst"/>
      </w:pPr>
      <w:r>
        <w:t xml:space="preserve">Računsko sodišče je izvedlo revizijo smotrnosti </w:t>
      </w:r>
      <w:r>
        <w:rPr>
          <w:b/>
        </w:rPr>
        <w:t>Mestne občine Ljubljana</w:t>
      </w:r>
      <w:r>
        <w:t xml:space="preserve"> (v nadaljevanju: občina) pri uresničevanju javnega interesa na področju investicij v javno bazensko infrastrukturo v obdobju od 1. 1. 2018 do 31. 12. 2023. Pri tem je računsko sodišče preverilo, ali je občina določila in dosegla cilje, povezane z uresničevanjem javnega interesa na področju investicij v javno bazensko infrastrukturo, ter navedeni investiciji strateško in operativno načrtovala in ju izvedla skladno z načrtom.</w:t>
      </w:r>
    </w:p>
    <w:p w14:paraId="073468A0" w14:textId="77777777" w:rsidR="004B1F62" w:rsidRDefault="004B1F62" w:rsidP="004B1F62">
      <w:pPr>
        <w:pStyle w:val="RStekst"/>
        <w:rPr>
          <w:b/>
        </w:rPr>
      </w:pPr>
      <w:r>
        <w:t xml:space="preserve">Računsko sodišče je podalo mnenje, da je bila občina pri uresničevanju javnega interesa na področju investicij v javno bazensko infrastrukturo </w:t>
      </w:r>
      <w:r w:rsidRPr="004B1F62">
        <w:rPr>
          <w:rStyle w:val="RStekstBoldbarva"/>
          <w:color w:val="auto"/>
        </w:rPr>
        <w:t>uspešna in delno učinkovita.</w:t>
      </w:r>
    </w:p>
    <w:p w14:paraId="009E6652" w14:textId="77777777" w:rsidR="004B1F62" w:rsidRDefault="004B1F62" w:rsidP="004B1F62">
      <w:pPr>
        <w:pStyle w:val="RStekst"/>
        <w:rPr>
          <w:b/>
        </w:rPr>
      </w:pPr>
      <w:r w:rsidRPr="00A05C6C">
        <w:t xml:space="preserve">Revizija občine je ena </w:t>
      </w:r>
      <w:r>
        <w:t>izmed</w:t>
      </w:r>
      <w:r w:rsidRPr="00A05C6C">
        <w:t xml:space="preserve"> prečnih revizij smotrnosti pri uresničevanju javnega interesa na področju investicij v javno bazensko infrastrukturo izbranih občin, ki so bile opravljene vzporedno z revizijo učinkovitosti ministrstva, pristojnega za šport</w:t>
      </w:r>
      <w:r>
        <w:t>,</w:t>
      </w:r>
      <w:r w:rsidRPr="00A05C6C">
        <w:t xml:space="preserve"> in Fundacije za financiranje športnih organizacij v Republiki Sloveniji z namenom opozoriti na problematiko uresničevanja javnega interesa na področju investicij v športno infrastrukturo.</w:t>
      </w:r>
    </w:p>
    <w:p w14:paraId="57C80100" w14:textId="77777777" w:rsidR="004B1F62" w:rsidRDefault="004B1F62" w:rsidP="004B1F62">
      <w:pPr>
        <w:pStyle w:val="RStekst"/>
      </w:pPr>
      <w:r>
        <w:t xml:space="preserve">Občina je investiciji Kopališče Vevče in Kopališče Ilirija vključila v Strategijo športa, kjer je opredelila cilje na področju športne infrastrukture, določila ciljne vrednosti in kazalnike za njihovo doseganje. </w:t>
      </w:r>
      <w:r w:rsidRPr="005C607E">
        <w:t xml:space="preserve">Ni pa ju vključila </w:t>
      </w:r>
      <w:r>
        <w:t xml:space="preserve">tudi </w:t>
      </w:r>
      <w:r w:rsidRPr="005C607E">
        <w:t>v sprejeto trajnostno urbano strategijo</w:t>
      </w:r>
      <w:r>
        <w:t>,</w:t>
      </w:r>
      <w:r w:rsidRPr="005C607E">
        <w:t xml:space="preserve"> prav tako ju ni vključila v letne programe športa, s katerimi občina uresničuje javni interes v športu na letni</w:t>
      </w:r>
      <w:r w:rsidRPr="00BD7566">
        <w:t xml:space="preserve"> ravni</w:t>
      </w:r>
      <w:r>
        <w:t xml:space="preserve">, s čimer občina ni zagotovila celovitosti programov športa in investicij v športno infrastrukturo. </w:t>
      </w:r>
    </w:p>
    <w:p w14:paraId="2EDB3318" w14:textId="77777777" w:rsidR="004B1F62" w:rsidRPr="005C607E" w:rsidRDefault="004B1F62" w:rsidP="004B1F62">
      <w:pPr>
        <w:pStyle w:val="RStekst"/>
      </w:pPr>
      <w:r>
        <w:t xml:space="preserve">Občina je še pred potrditvijo osnovnega investicijskega dokumenta za projekt Kopališče Vevče investicijo vključila v načrt razvojnih programov in izvedla tudi nakup zemljišča. Občina je tako začela projekt izvajati še preden je imela potrjeno dokumentacijo zanj, torej še preden je opredelila obseg projekta ter njegovo finančno in časovno konstrukcijo. Investicijska dokumentacija je bila kasneje pripravljena in potrjena, vendar ni v celoti sledila uredbi za pripravo investicijske dokumentacije. Prav tako je bila investicijska dokumentacija pomanjkljiva, pri posameznih dokumentih pa ni bilo mogoče ugotoviti časa njihovega nastanka ter tudi ne zaporedja. Ker je občina pripravila investicijske dokumente času, ko je investicijo Kopališče Vevče že izvajala, ti niso služili njihovemu namenu in niso mogli opraviti funkcije investicijskih dokumentov, na podlagi katerih bi bila sprejeta odločitev o </w:t>
      </w:r>
      <w:r w:rsidRPr="005C607E">
        <w:t>upravičenosti in izvedljivosti projektov.</w:t>
      </w:r>
    </w:p>
    <w:p w14:paraId="2A43F9B6" w14:textId="77777777" w:rsidR="004B1F62" w:rsidRDefault="004B1F62" w:rsidP="004B1F62">
      <w:pPr>
        <w:pStyle w:val="RStekst"/>
      </w:pPr>
      <w:r w:rsidRPr="005C607E">
        <w:t>Občina je 8 let po sprejemu prvotnega investicijskega programa za Kopališče Ilirija, po katerem je bila predvidena izgradnja plavalno</w:t>
      </w:r>
      <w:r>
        <w:t>-</w:t>
      </w:r>
      <w:r w:rsidRPr="005C607E">
        <w:t xml:space="preserve">gimnastičnega centra, sprejela </w:t>
      </w:r>
      <w:proofErr w:type="spellStart"/>
      <w:r w:rsidRPr="005C607E">
        <w:t>novelacijo</w:t>
      </w:r>
      <w:proofErr w:type="spellEnd"/>
      <w:r w:rsidRPr="005C607E">
        <w:t xml:space="preserve"> investicijskega </w:t>
      </w:r>
      <w:r w:rsidRPr="005C607E">
        <w:lastRenderedPageBreak/>
        <w:t xml:space="preserve">projekta, s katero je projekt bistveno zmanjšala, in sicer je obsegal prenovo Kopališča Ilirija. Z drugo </w:t>
      </w:r>
      <w:proofErr w:type="spellStart"/>
      <w:r w:rsidRPr="005C607E">
        <w:t>novelacijo</w:t>
      </w:r>
      <w:proofErr w:type="spellEnd"/>
      <w:r w:rsidRPr="005C607E">
        <w:t xml:space="preserve"> investicijskega programa Kopališča Ilirija se je vrednost investicije povečala za 31,3</w:t>
      </w:r>
      <w:r>
        <w:t> </w:t>
      </w:r>
      <w:r w:rsidRPr="005C607E">
        <w:t>m</w:t>
      </w:r>
      <w:r>
        <w:t>ilijona </w:t>
      </w:r>
      <w:r w:rsidRPr="005C607E">
        <w:t>EUR in je na novo vključevala strošek nakupa zemljišč, ki bi moral biti vključen že v prejšnji verziji investicijskega programa, sicer pa se obseg investicije ni spremenil. Povišanje stroškov ni bilo obrazloženo niti v investicijski dokumentaciji niti v odloku o proračunu ali zaključnem računu, kar pomeni, da z razlogi povišanja stroškov ni bil seznanjen niti mestni svet.</w:t>
      </w:r>
    </w:p>
    <w:p w14:paraId="0CCF745E" w14:textId="77777777" w:rsidR="004B1F62" w:rsidRDefault="004B1F62" w:rsidP="004B1F62">
      <w:pPr>
        <w:pStyle w:val="RStekst"/>
      </w:pPr>
      <w:r>
        <w:t xml:space="preserve">Ob zaključku leta 2023 so bile gradbene aktivnosti obeh investicij še v teku, kar je bilo tudi v skladu s časovnim in finančnim načrtom v sprejeti investicijski dokumentaciji. </w:t>
      </w:r>
    </w:p>
    <w:p w14:paraId="0DAFE4F0" w14:textId="77777777" w:rsidR="004B1F62" w:rsidRDefault="004B1F62" w:rsidP="004B1F62">
      <w:pPr>
        <w:pStyle w:val="RStekst"/>
      </w:pPr>
      <w:r>
        <w:t xml:space="preserve">Računsko sodišče je občini </w:t>
      </w:r>
      <w:r w:rsidRPr="00312232">
        <w:rPr>
          <w:bCs w:val="0"/>
        </w:rPr>
        <w:t>podalo</w:t>
      </w:r>
      <w:r>
        <w:rPr>
          <w:b/>
        </w:rPr>
        <w:t xml:space="preserve"> priporočila, </w:t>
      </w:r>
      <w:r>
        <w:t>ni pa zahtevalo predložitve odzivnega poročila.</w:t>
      </w:r>
    </w:p>
    <w:p w14:paraId="21CC44C3" w14:textId="3595EFFF" w:rsidR="003D1FAE" w:rsidRDefault="003D1FAE" w:rsidP="003D1FAE">
      <w:pPr>
        <w:pStyle w:val="RStekst"/>
      </w:pPr>
    </w:p>
    <w:p w14:paraId="35897DF7" w14:textId="5E2AEA94" w:rsidR="008629A2" w:rsidRDefault="008629A2" w:rsidP="008629A2">
      <w:pPr>
        <w:pStyle w:val="RStekst"/>
      </w:pPr>
      <w:r>
        <w:t xml:space="preserve">Ljubljana, </w:t>
      </w:r>
      <w:r w:rsidR="00676670">
        <w:t>19.</w:t>
      </w:r>
      <w:r w:rsidR="004B1F62">
        <w:t xml:space="preserve"> decembra 2024</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415614C5"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1E31A7">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1349331402">
    <w:abstractNumId w:val="18"/>
  </w:num>
  <w:num w:numId="2" w16cid:durableId="720053356">
    <w:abstractNumId w:val="11"/>
  </w:num>
  <w:num w:numId="3" w16cid:durableId="1600261065">
    <w:abstractNumId w:val="19"/>
    <w:lvlOverride w:ilvl="0">
      <w:startOverride w:val="1"/>
    </w:lvlOverride>
  </w:num>
  <w:num w:numId="4" w16cid:durableId="1623805787">
    <w:abstractNumId w:val="22"/>
  </w:num>
  <w:num w:numId="5" w16cid:durableId="1402211089">
    <w:abstractNumId w:val="4"/>
  </w:num>
  <w:num w:numId="6" w16cid:durableId="1102191425">
    <w:abstractNumId w:val="16"/>
  </w:num>
  <w:num w:numId="7" w16cid:durableId="89485650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933973399">
    <w:abstractNumId w:val="12"/>
  </w:num>
  <w:num w:numId="9" w16cid:durableId="1393960883">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211617117">
    <w:abstractNumId w:val="10"/>
  </w:num>
  <w:num w:numId="11" w16cid:durableId="1681658475">
    <w:abstractNumId w:val="1"/>
  </w:num>
  <w:num w:numId="12" w16cid:durableId="530072766">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717896291">
    <w:abstractNumId w:val="14"/>
  </w:num>
  <w:num w:numId="14" w16cid:durableId="1196430726">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682708833">
    <w:abstractNumId w:val="9"/>
  </w:num>
  <w:num w:numId="16" w16cid:durableId="743911690">
    <w:abstractNumId w:val="17"/>
  </w:num>
  <w:num w:numId="17" w16cid:durableId="1351908857">
    <w:abstractNumId w:val="13"/>
  </w:num>
  <w:num w:numId="18" w16cid:durableId="1296596435">
    <w:abstractNumId w:val="21"/>
  </w:num>
  <w:num w:numId="19" w16cid:durableId="1797016952">
    <w:abstractNumId w:val="2"/>
  </w:num>
  <w:num w:numId="20" w16cid:durableId="172040862">
    <w:abstractNumId w:val="7"/>
  </w:num>
  <w:num w:numId="21" w16cid:durableId="1125848405">
    <w:abstractNumId w:val="3"/>
  </w:num>
  <w:num w:numId="22" w16cid:durableId="1864785489">
    <w:abstractNumId w:val="23"/>
  </w:num>
  <w:num w:numId="23" w16cid:durableId="1483885192">
    <w:abstractNumId w:val="6"/>
  </w:num>
  <w:num w:numId="24" w16cid:durableId="803546368">
    <w:abstractNumId w:val="5"/>
  </w:num>
  <w:num w:numId="25" w16cid:durableId="884567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125890">
    <w:abstractNumId w:val="0"/>
  </w:num>
  <w:num w:numId="27" w16cid:durableId="13073199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mirrorMargins/>
  <w:hideSpelling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C53D4"/>
    <w:rsid w:val="002E4EF1"/>
    <w:rsid w:val="002F0F45"/>
    <w:rsid w:val="002F4A63"/>
    <w:rsid w:val="002F7C39"/>
    <w:rsid w:val="00321CA4"/>
    <w:rsid w:val="00325D33"/>
    <w:rsid w:val="00330C2E"/>
    <w:rsid w:val="003412E4"/>
    <w:rsid w:val="00356C3D"/>
    <w:rsid w:val="0036638F"/>
    <w:rsid w:val="003700A4"/>
    <w:rsid w:val="00373DFB"/>
    <w:rsid w:val="0038346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B1F62"/>
    <w:rsid w:val="004C746E"/>
    <w:rsid w:val="004D085A"/>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670"/>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2E06"/>
    <w:rsid w:val="0072687D"/>
    <w:rsid w:val="00734C36"/>
    <w:rsid w:val="00761344"/>
    <w:rsid w:val="00761D6C"/>
    <w:rsid w:val="00775173"/>
    <w:rsid w:val="00775CFC"/>
    <w:rsid w:val="00776C89"/>
    <w:rsid w:val="00784CDC"/>
    <w:rsid w:val="00785960"/>
    <w:rsid w:val="00786771"/>
    <w:rsid w:val="007A5287"/>
    <w:rsid w:val="007B2D76"/>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E6341"/>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5B5"/>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2BED"/>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1e3d3dff-4392-4e99-aebd-c95b4ee1afdd"/>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3269</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2024-12-18T13:35:00Z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