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08AB59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F05156">
        <w:rPr>
          <w:spacing w:val="-2"/>
        </w:rPr>
        <w:br/>
      </w:r>
      <w:r w:rsidR="00F05156" w:rsidRPr="00F05156">
        <w:rPr>
          <w:spacing w:val="-2"/>
        </w:rPr>
        <w:t>Pravilnost poslovanja Agencije za trg vrednostnih papirjev</w:t>
      </w:r>
      <w:r w:rsidRPr="009176A9">
        <w:rPr>
          <w:spacing w:val="-2"/>
        </w:rPr>
        <w:t xml:space="preserve"> </w:t>
      </w:r>
    </w:p>
    <w:p w14:paraId="732A6E84" w14:textId="77777777" w:rsidR="00F05156" w:rsidRPr="00A26ED0" w:rsidRDefault="00F05156" w:rsidP="00F05156">
      <w:pPr>
        <w:pStyle w:val="RStekst"/>
      </w:pPr>
      <w:r w:rsidRPr="0002087F">
        <w:t>Računsko</w:t>
      </w:r>
      <w:r w:rsidRPr="00A26ED0">
        <w:t xml:space="preserve"> sodišče je izvedlo revizijo pravilnosti poslovanja </w:t>
      </w:r>
      <w:r w:rsidRPr="00A26ED0">
        <w:rPr>
          <w:b/>
        </w:rPr>
        <w:t>Agencije za trg vrednostnih papirjev</w:t>
      </w:r>
      <w:r w:rsidRPr="00A26ED0">
        <w:t>. Cilj revizije je bil izrek mnenja o pravilnosti poslovanja Agencije za trg vrednostnih papirjev v letu</w:t>
      </w:r>
      <w:r>
        <w:t> </w:t>
      </w:r>
      <w:r w:rsidRPr="00A26ED0">
        <w:t>2022.</w:t>
      </w:r>
    </w:p>
    <w:p w14:paraId="3DDEC0B4" w14:textId="77777777" w:rsidR="00F05156" w:rsidRPr="00A26ED0" w:rsidRDefault="00F05156" w:rsidP="00F05156">
      <w:pPr>
        <w:pStyle w:val="RStekst"/>
      </w:pPr>
      <w:r w:rsidRPr="00A26ED0">
        <w:t xml:space="preserve">Računsko sodišče je o pravilnosti poslovanja Agencije za trg vrednostnih papirjev </w:t>
      </w:r>
      <w:r>
        <w:t>v letu </w:t>
      </w:r>
      <w:r w:rsidRPr="00A26ED0">
        <w:t xml:space="preserve">2022 izreklo </w:t>
      </w:r>
      <w:r w:rsidRPr="00F05156">
        <w:rPr>
          <w:rStyle w:val="RStekstBoldbarva"/>
          <w:color w:val="auto"/>
        </w:rPr>
        <w:t>mnenje s pridržkom,</w:t>
      </w:r>
      <w:r w:rsidRPr="00F05156">
        <w:t xml:space="preserve"> </w:t>
      </w:r>
      <w:r w:rsidRPr="00A26ED0">
        <w:t>ker je ugotovilo, da je v naslednjih primerih poslovala v neskladju s predpisi, notranjimi akti in pogodbenimi določili:</w:t>
      </w:r>
    </w:p>
    <w:p w14:paraId="259391E2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javni uslužbenki je obračunala in izplačala za 160 EUR prenizko bruto plačo;</w:t>
      </w:r>
    </w:p>
    <w:p w14:paraId="2950526F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javnemu uslužbencu je izplačala previsok dodatek za delovno dobo;</w:t>
      </w:r>
    </w:p>
    <w:p w14:paraId="0977432B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9 javnim uslužbencem je napačno obračunala in izplačala stroške prevoza na delo in z dela;</w:t>
      </w:r>
    </w:p>
    <w:p w14:paraId="3F58901A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nepravilno je izvedla postopke oddaje naročil za nabavo osnovnih sredstev in storitev v vrednosti 41.947 EUR ter postopke objave javnih naročil;</w:t>
      </w:r>
    </w:p>
    <w:p w14:paraId="439D1A39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za opravljene storitve je plačala za 1.006 EUR več, kot je bilo določeno v pogodbi;</w:t>
      </w:r>
    </w:p>
    <w:p w14:paraId="7D03E24E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 xml:space="preserve">2 </w:t>
      </w:r>
      <w:r w:rsidRPr="001A5F34">
        <w:t>pogodb</w:t>
      </w:r>
      <w:r w:rsidRPr="00A26ED0">
        <w:t xml:space="preserve"> z izbranima ponudnikoma ni objavila v 48 dneh od oddaje javnega naročila</w:t>
      </w:r>
      <w:r w:rsidRPr="00A26ED0">
        <w:rPr>
          <w:lang w:eastAsia="sl-SI"/>
        </w:rPr>
        <w:t xml:space="preserve"> na spletni strani, namenjeni izvajanju elektronskega javnega naročanja</w:t>
      </w:r>
      <w:r w:rsidRPr="00A26ED0">
        <w:t>;</w:t>
      </w:r>
    </w:p>
    <w:p w14:paraId="190DD63B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v pogodbo o dobavi električne energije ni vključila protikorupcijske klavzule;</w:t>
      </w:r>
    </w:p>
    <w:p w14:paraId="42E04DB4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javnim uslužbencem je zagotovila pravice v večjem obsegu, kot jim jih omogočajo predpisi;</w:t>
      </w:r>
    </w:p>
    <w:p w14:paraId="3211DC0A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plačala je strošek, za katerega račun oziroma drug dokument ni bil izdan v elektronski obliki</w:t>
      </w:r>
      <w:r w:rsidRPr="00A26ED0">
        <w:rPr>
          <w:lang w:eastAsia="sl-SI"/>
        </w:rPr>
        <w:t>;</w:t>
      </w:r>
    </w:p>
    <w:p w14:paraId="723349D1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plačilo obveznosti ni izvedla v predpisanem roku;</w:t>
      </w:r>
    </w:p>
    <w:p w14:paraId="34A3BD21" w14:textId="77777777" w:rsidR="00F05156" w:rsidRPr="00A26ED0" w:rsidRDefault="00F05156" w:rsidP="00F05156">
      <w:pPr>
        <w:pStyle w:val="RSnatevanje"/>
        <w:keepLines w:val="0"/>
        <w:numPr>
          <w:ilvl w:val="0"/>
          <w:numId w:val="28"/>
        </w:numPr>
        <w:spacing w:after="80"/>
      </w:pPr>
      <w:r w:rsidRPr="00A26ED0">
        <w:t>članu sveta agencije je obračunala in izplačala sejnino v znesku 244 EUR za sejo, na kateri ni bil prisoten.</w:t>
      </w:r>
    </w:p>
    <w:p w14:paraId="5424E38D" w14:textId="089B6B8A" w:rsidR="00C572B5" w:rsidRDefault="00F05156" w:rsidP="00F05156">
      <w:pPr>
        <w:pStyle w:val="RStekst"/>
      </w:pPr>
      <w:r w:rsidRPr="00A26ED0">
        <w:t>Računsko sodišče je</w:t>
      </w:r>
      <w:r w:rsidRPr="00A26ED0">
        <w:rPr>
          <w:rStyle w:val="RStekstBold"/>
        </w:rPr>
        <w:t xml:space="preserve"> </w:t>
      </w:r>
      <w:r w:rsidRPr="00F05156">
        <w:rPr>
          <w:rStyle w:val="RStekstBold"/>
          <w:b w:val="0"/>
        </w:rPr>
        <w:t>Agenciji za trg vrednostnih papirjev podalo</w:t>
      </w:r>
      <w:r w:rsidRPr="00A26ED0">
        <w:rPr>
          <w:rStyle w:val="RStekstBold"/>
        </w:rPr>
        <w:t xml:space="preserve"> </w:t>
      </w:r>
      <w:r w:rsidRPr="00F05156">
        <w:rPr>
          <w:rStyle w:val="RStekstBold"/>
          <w:b w:val="0"/>
        </w:rPr>
        <w:t>p</w:t>
      </w:r>
      <w:r w:rsidRPr="00F05156">
        <w:t>rip</w:t>
      </w:r>
      <w:r w:rsidRPr="00A26ED0">
        <w:t xml:space="preserve">oročilo za izboljšanje poslovanja, ni pa </w:t>
      </w:r>
      <w:r w:rsidRPr="00F05156">
        <w:t>zahtevalo</w:t>
      </w:r>
      <w:r w:rsidRPr="00A26ED0">
        <w:t xml:space="preserve"> predložitve odzivnega poročila, saj je Agencija za trg vrednostnih papirjev med revizijskim postopkom sprejela ustrezne popravljalne ukrepe za odpravo razkritih nepravilnosti.</w:t>
      </w:r>
    </w:p>
    <w:p w14:paraId="2A735CF7" w14:textId="77777777" w:rsidR="00F05156" w:rsidRDefault="00F05156" w:rsidP="008629A2">
      <w:pPr>
        <w:pStyle w:val="RStekst"/>
      </w:pPr>
    </w:p>
    <w:p w14:paraId="35897DF7" w14:textId="3B36CC11" w:rsidR="008629A2" w:rsidRDefault="008629A2" w:rsidP="008629A2">
      <w:pPr>
        <w:pStyle w:val="RStekst"/>
      </w:pPr>
      <w:r>
        <w:t xml:space="preserve">Ljubljana, </w:t>
      </w:r>
      <w:r w:rsidR="005622E2">
        <w:t>1</w:t>
      </w:r>
      <w:r w:rsidR="00F80DF4">
        <w:t>3</w:t>
      </w:r>
      <w:bookmarkStart w:id="0" w:name="_GoBack"/>
      <w:bookmarkEnd w:id="0"/>
      <w:r w:rsidR="005622E2">
        <w:t xml:space="preserve">. </w:t>
      </w:r>
      <w:r w:rsidR="00F05156">
        <w:t>maja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37ECBBC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F80DF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5FD69A9"/>
    <w:multiLevelType w:val="multilevel"/>
    <w:tmpl w:val="10A4B76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622E2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0515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0DF4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49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1617</Characters>
  <Application>Microsoft Office Word</Application>
  <DocSecurity>0</DocSecurity>
  <Lines>26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2024-05-10T13:54:00Z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