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93FF4" w14:textId="3FDE630F" w:rsidR="008629A2" w:rsidRPr="00F4569E" w:rsidRDefault="008629A2" w:rsidP="008629A2">
      <w:pPr>
        <w:pStyle w:val="RSGLAVNINASLOV"/>
        <w:rPr>
          <w:spacing w:val="-2"/>
        </w:rPr>
      </w:pPr>
      <w:r w:rsidRPr="009176A9">
        <w:rPr>
          <w:spacing w:val="-2"/>
        </w:rPr>
        <w:t>Povzetek revizijskega poročila</w:t>
      </w:r>
      <w:r w:rsidR="0056420D">
        <w:rPr>
          <w:spacing w:val="-2"/>
        </w:rPr>
        <w:br/>
      </w:r>
      <w:r w:rsidR="0056420D" w:rsidRPr="0056420D">
        <w:rPr>
          <w:spacing w:val="-2"/>
        </w:rPr>
        <w:t>Učinkovitost poslovanja Študentske organizacije Univerze v Ljubljani pri zastopanju interesov in pravic študentov</w:t>
      </w:r>
      <w:r w:rsidRPr="009176A9">
        <w:rPr>
          <w:spacing w:val="-2"/>
        </w:rPr>
        <w:t xml:space="preserve"> </w:t>
      </w:r>
    </w:p>
    <w:p w14:paraId="3F9BD067" w14:textId="77777777" w:rsidR="0056420D" w:rsidRDefault="0056420D" w:rsidP="0056420D">
      <w:pPr>
        <w:pStyle w:val="RStekst"/>
      </w:pPr>
      <w:r>
        <w:t xml:space="preserve">Računsko sodišče je revidiralo učinkovitost poslovanja </w:t>
      </w:r>
      <w:r>
        <w:rPr>
          <w:b/>
        </w:rPr>
        <w:t xml:space="preserve">Študentske organizacije Univerze v Ljubljani </w:t>
      </w:r>
      <w:r>
        <w:t xml:space="preserve">(v nadaljevanju: </w:t>
      </w:r>
      <w:proofErr w:type="spellStart"/>
      <w:r>
        <w:t>ŠOUL</w:t>
      </w:r>
      <w:proofErr w:type="spellEnd"/>
      <w:r>
        <w:t xml:space="preserve">) pri zastopanju interesov in pravic študentov v obdobju od 1. 1. 2020 do 30. 6. 2022. Po mnenju računskega sodišča je bila </w:t>
      </w:r>
      <w:proofErr w:type="spellStart"/>
      <w:r>
        <w:rPr>
          <w:b/>
        </w:rPr>
        <w:t>ŠOUL</w:t>
      </w:r>
      <w:proofErr w:type="spellEnd"/>
      <w:r>
        <w:rPr>
          <w:b/>
        </w:rPr>
        <w:t xml:space="preserve"> </w:t>
      </w:r>
      <w:r>
        <w:t xml:space="preserve">pri tem </w:t>
      </w:r>
      <w:r>
        <w:rPr>
          <w:rFonts w:ascii="Cambria" w:hAnsi="Cambria"/>
          <w:b/>
          <w:color w:val="539DBD" w:themeColor="accent2"/>
        </w:rPr>
        <w:t>neučinkovita</w:t>
      </w:r>
      <w:r>
        <w:t xml:space="preserve">. </w:t>
      </w:r>
    </w:p>
    <w:p w14:paraId="5796D6C9" w14:textId="77777777" w:rsidR="0056420D" w:rsidRDefault="0056420D" w:rsidP="0056420D">
      <w:pPr>
        <w:pStyle w:val="RStekst"/>
      </w:pPr>
      <w:proofErr w:type="spellStart"/>
      <w:r>
        <w:t>ŠOUL</w:t>
      </w:r>
      <w:proofErr w:type="spellEnd"/>
      <w:r>
        <w:t xml:space="preserve"> ni sprejela dolgoročnega strateškega dokumenta, ki bi za daljše časovno obdobje opredelil želene cilje, ukrepe za doseganje ciljev, pričakovane učinke in kazalnike za merjenje njihovega doseganja za vsa področja zastopanja interesov in pravic študentov. Posledično </w:t>
      </w:r>
      <w:proofErr w:type="spellStart"/>
      <w:r>
        <w:t>ŠOUL</w:t>
      </w:r>
      <w:proofErr w:type="spellEnd"/>
      <w:r>
        <w:t xml:space="preserve"> letnega načrtovanja ni mogla prilagoditi zahtevam strateških dokumentov, prav tako ni mogla spremljati doseganja dolgoročnih ciljev in o njih poročati. Letni načrti </w:t>
      </w:r>
      <w:proofErr w:type="spellStart"/>
      <w:r>
        <w:t>ŠOUL</w:t>
      </w:r>
      <w:proofErr w:type="spellEnd"/>
      <w:r>
        <w:t xml:space="preserve"> niso vsebovali takšnih ciljev poslovanja in kazalnikov za njihovo merjenje, da bi bilo mogoče meriti učinkovitost in uspešnost doseganja letnih ciljev. Zaradi navedenega je bila otežena tudi kasnejša evalvacija učinkovitosti in uspešnosti poslovanja. K temu je prispevalo tudi dejstvo, da iz opisov postavk v finančnih načrtih in druge predložene dokumentacije ni bilo mogoče razbrati, na kakšen način je bila sploh določena višina sredstev za financiranje posameznih postavk oziroma ali je višina v finančnem načrtu določenih sredstev temeljila na ugotovljenih finančnih potrebah za izvedbo načrtovanih projektov. Omejitve v poslovanju, ki lahko vplivajo tudi na učinkovitost poslovanja, so bile tudi posledica poznega sprejemanja finančnih načrtov, ki so bili v vseh letih sprejeti med letom, katerega financiranje so urejali.</w:t>
      </w:r>
    </w:p>
    <w:p w14:paraId="50BAAEEA" w14:textId="77777777" w:rsidR="0056420D" w:rsidRDefault="0056420D" w:rsidP="0056420D">
      <w:pPr>
        <w:pStyle w:val="RStekst"/>
      </w:pPr>
      <w:proofErr w:type="spellStart"/>
      <w:r>
        <w:t>ŠOUL</w:t>
      </w:r>
      <w:proofErr w:type="spellEnd"/>
      <w:r>
        <w:t xml:space="preserve"> je nekaj več kot tretjino vseh sredstev, s katerimi je razpolagala, namenila pravnim osebam, ki jih je (so)ustanovila za izvajanje dejavnosti študentskih organizacij (v nadaljevanju: člani družine </w:t>
      </w:r>
      <w:proofErr w:type="spellStart"/>
      <w:r>
        <w:t>ŠOUL</w:t>
      </w:r>
      <w:proofErr w:type="spellEnd"/>
      <w:r>
        <w:t xml:space="preserve">). Pri tem ni zagotovila pridobitve takšnih informacij s strani članov družine </w:t>
      </w:r>
      <w:proofErr w:type="spellStart"/>
      <w:r>
        <w:t>ŠOUL</w:t>
      </w:r>
      <w:proofErr w:type="spellEnd"/>
      <w:r>
        <w:t xml:space="preserve">, da bi ob sprejemanju finančnih načrtov lahko ugotovila kakšen obseg sredstev posamezen član družine </w:t>
      </w:r>
      <w:proofErr w:type="spellStart"/>
      <w:r>
        <w:t>ŠOUL</w:t>
      </w:r>
      <w:proofErr w:type="spellEnd"/>
      <w:r>
        <w:t xml:space="preserve"> rabi za izvedbo nalog v skladu z ustanovitvenim aktom in drugih informacij o načrtovanem poslovanju članov družine </w:t>
      </w:r>
      <w:proofErr w:type="spellStart"/>
      <w:r>
        <w:t>ŠOUL</w:t>
      </w:r>
      <w:proofErr w:type="spellEnd"/>
      <w:r>
        <w:t xml:space="preserve">, ki bi ji omogočili učinkovito spremljanje in nadzor nad izvajanjem projektov članov družine </w:t>
      </w:r>
      <w:proofErr w:type="spellStart"/>
      <w:r>
        <w:t>ŠOUL</w:t>
      </w:r>
      <w:proofErr w:type="spellEnd"/>
      <w:r>
        <w:t>.</w:t>
      </w:r>
    </w:p>
    <w:p w14:paraId="24D5354E" w14:textId="77777777" w:rsidR="0056420D" w:rsidRDefault="0056420D" w:rsidP="0056420D">
      <w:pPr>
        <w:pStyle w:val="RStekst"/>
      </w:pPr>
      <w:proofErr w:type="spellStart"/>
      <w:r>
        <w:t>ŠOUL</w:t>
      </w:r>
      <w:proofErr w:type="spellEnd"/>
      <w:r>
        <w:t xml:space="preserve"> je porabljala sredstva za projekte predsedstva in študentskih organizacij visokošolskih zavodov (v nadaljevanju: </w:t>
      </w:r>
      <w:proofErr w:type="spellStart"/>
      <w:r>
        <w:t>ŠOVZ</w:t>
      </w:r>
      <w:proofErr w:type="spellEnd"/>
      <w:r>
        <w:t xml:space="preserve">), delovanje članov družine </w:t>
      </w:r>
      <w:proofErr w:type="spellStart"/>
      <w:r>
        <w:t>ŠOUL</w:t>
      </w:r>
      <w:proofErr w:type="spellEnd"/>
      <w:r>
        <w:t xml:space="preserve"> in za svoje delovanje. </w:t>
      </w:r>
      <w:proofErr w:type="spellStart"/>
      <w:r>
        <w:t>ŠOUL</w:t>
      </w:r>
      <w:proofErr w:type="spellEnd"/>
      <w:r>
        <w:t xml:space="preserve"> projektov predsedstva ni niti načrtovala, ni o njih ni poročala in jih ni dokumentirala na način, da bi bilo mogoče potrditi, da so bila sredstva za projekte porabljena namensko in pregledno. Na podlagi predložene dokumentacije ni bilo mogoče potrditi, kakšni so sploh bili dejanski stroški projektov oziroma na katere projekte so se evidentirani stroški dejansko nanašali in ali so bili evidentirani stroški sploh potrebni za izvedbo projektov. Tudi za sredstva za projekte </w:t>
      </w:r>
      <w:proofErr w:type="spellStart"/>
      <w:r>
        <w:t>ŠOVZ</w:t>
      </w:r>
      <w:proofErr w:type="spellEnd"/>
      <w:r>
        <w:t xml:space="preserve"> ni bilo mogoče potrditi, da so bila porabljena namensko in pregledno, saj je bilo dokumentiranje porabe in poročanje o teh projektih pomanjkljivo. Posamezni projekti predsedstva in </w:t>
      </w:r>
      <w:proofErr w:type="spellStart"/>
      <w:r>
        <w:t>ŠOVZ</w:t>
      </w:r>
      <w:proofErr w:type="spellEnd"/>
      <w:r>
        <w:t xml:space="preserve"> so bili financirani tudi s </w:t>
      </w:r>
      <w:r>
        <w:lastRenderedPageBreak/>
        <w:t xml:space="preserve">prispevkom študentov, pri čemer ni bilo mogoče ugotoviti, komu so študenti plačali prispevek za izvedbo aktivnosti. </w:t>
      </w:r>
      <w:proofErr w:type="spellStart"/>
      <w:r>
        <w:t>ŠOUL</w:t>
      </w:r>
      <w:proofErr w:type="spellEnd"/>
      <w:r>
        <w:t xml:space="preserve"> prispevkov udeležencev plačljivih projektov ni niti načrtovala v finančnih načrtih </w:t>
      </w:r>
      <w:proofErr w:type="spellStart"/>
      <w:r>
        <w:t>ŠOUL</w:t>
      </w:r>
      <w:proofErr w:type="spellEnd"/>
      <w:r>
        <w:t xml:space="preserve">, niti jih ni evidentirala v poslovnih knjigah med svojimi prihodki, čeprav iz okoliščin projektov izhaja, da je bila </w:t>
      </w:r>
      <w:proofErr w:type="spellStart"/>
      <w:r>
        <w:t>ŠOUL</w:t>
      </w:r>
      <w:proofErr w:type="spellEnd"/>
      <w:r>
        <w:t xml:space="preserve"> v vlogi organizatorja teh projektov. Niti finančni načrti niti letna poročila tako niso podala celovite slike o poslovanju </w:t>
      </w:r>
      <w:proofErr w:type="spellStart"/>
      <w:r>
        <w:t>ŠOUL</w:t>
      </w:r>
      <w:proofErr w:type="spellEnd"/>
      <w:r>
        <w:t xml:space="preserve">. Poleg tega vsi projekti niso bili objavljeni na način, ki bi omogočal seznanitev vseh zainteresiranih študentov z aktivnostmi in s tem enakopraven dostop do vseh aktivnosti, nekateri projekti pa so bili že v izhodišču namenjeni le vnaprej znanemu omejenemu krogu oseb. </w:t>
      </w:r>
    </w:p>
    <w:p w14:paraId="226AB333" w14:textId="77777777" w:rsidR="0056420D" w:rsidRDefault="0056420D" w:rsidP="0056420D">
      <w:pPr>
        <w:pStyle w:val="RStekst"/>
      </w:pPr>
      <w:proofErr w:type="spellStart"/>
      <w:r>
        <w:t>ŠOUL</w:t>
      </w:r>
      <w:proofErr w:type="spellEnd"/>
      <w:r>
        <w:t xml:space="preserve"> ni vzpostavila učinkovitega sistema financiranja dejavnosti, ki so jih v skladu z ustanovitvenimi akti izvajali člani družine </w:t>
      </w:r>
      <w:proofErr w:type="spellStart"/>
      <w:r>
        <w:t>ŠOUL</w:t>
      </w:r>
      <w:proofErr w:type="spellEnd"/>
      <w:r>
        <w:t xml:space="preserve">. </w:t>
      </w:r>
      <w:proofErr w:type="spellStart"/>
      <w:r>
        <w:t>ŠOUL</w:t>
      </w:r>
      <w:proofErr w:type="spellEnd"/>
      <w:r>
        <w:t xml:space="preserve"> ni dajala usmeritev ali navodil za načrtovanje izvajanja dejavnosti članov družine </w:t>
      </w:r>
      <w:proofErr w:type="spellStart"/>
      <w:r>
        <w:t>ŠOUL</w:t>
      </w:r>
      <w:proofErr w:type="spellEnd"/>
      <w:r>
        <w:t xml:space="preserve"> in zaradi pomanjkljivih finančnih načrtov članov družine </w:t>
      </w:r>
      <w:proofErr w:type="spellStart"/>
      <w:r>
        <w:t>ŠOUL</w:t>
      </w:r>
      <w:proofErr w:type="spellEnd"/>
      <w:r>
        <w:t xml:space="preserve"> ni mogla učinkovito spremljati njihovega izvrševanja. Tega ni mogla zagotoviti niti prek potrjevanja zahtevkov za izplačila, saj iz njih obseg opravljenih dejavnosti ni bil razviden, možnosti vpogleda v dokumentacijo o poslovanju pa ni uporabila. Vpliv na poslovanje članov družine </w:t>
      </w:r>
      <w:proofErr w:type="spellStart"/>
      <w:r>
        <w:t>ŠOUL</w:t>
      </w:r>
      <w:proofErr w:type="spellEnd"/>
      <w:r>
        <w:t xml:space="preserve"> je imela prek svojih predstavnikov v njihovih organih upravljanja, vendar je bil ta vpliv omejen, saj </w:t>
      </w:r>
      <w:proofErr w:type="spellStart"/>
      <w:r>
        <w:t>ŠOUL</w:t>
      </w:r>
      <w:proofErr w:type="spellEnd"/>
      <w:r>
        <w:t xml:space="preserve"> v nobenem izmed članov družine </w:t>
      </w:r>
      <w:proofErr w:type="spellStart"/>
      <w:r>
        <w:t>ŠOUL</w:t>
      </w:r>
      <w:proofErr w:type="spellEnd"/>
      <w:r>
        <w:t xml:space="preserve"> ni imela vsaj polovice svojih članov v njihovih organih upravljanja. Ob vseh navedenih dejavnikih menimo, da </w:t>
      </w:r>
      <w:proofErr w:type="spellStart"/>
      <w:r>
        <w:t>ŠOUL</w:t>
      </w:r>
      <w:proofErr w:type="spellEnd"/>
      <w:r>
        <w:t xml:space="preserve"> ni mogla pridobiti zagotovil, da so člani družine </w:t>
      </w:r>
      <w:proofErr w:type="spellStart"/>
      <w:r>
        <w:t>ŠOUL</w:t>
      </w:r>
      <w:proofErr w:type="spellEnd"/>
      <w:r>
        <w:t xml:space="preserve"> sredstva porabljali učinkovito, namensko in gospodarno. </w:t>
      </w:r>
    </w:p>
    <w:p w14:paraId="72697867" w14:textId="77777777" w:rsidR="0056420D" w:rsidRDefault="0056420D" w:rsidP="0056420D">
      <w:pPr>
        <w:pStyle w:val="RStekst"/>
      </w:pPr>
      <w:r>
        <w:t xml:space="preserve">Skoraj polovico vseh sredstev je </w:t>
      </w:r>
      <w:proofErr w:type="spellStart"/>
      <w:r>
        <w:t>ŠOUL</w:t>
      </w:r>
      <w:proofErr w:type="spellEnd"/>
      <w:r>
        <w:t xml:space="preserve"> porabila za svoje delovanje. Pri porabi teh sredstev ni vedno ravnala v skladu s pravnimi podlagami, ki jo zavezujejo pri poslovanju. Kršitve predpisov je računsko sodišče ugotovilo predvsem na področju javnega naročanja.</w:t>
      </w:r>
    </w:p>
    <w:p w14:paraId="533CEF31" w14:textId="77777777" w:rsidR="0056420D" w:rsidRDefault="0056420D" w:rsidP="0056420D">
      <w:pPr>
        <w:pStyle w:val="RStekst"/>
      </w:pPr>
      <w:proofErr w:type="spellStart"/>
      <w:r>
        <w:t>ŠOUL</w:t>
      </w:r>
      <w:proofErr w:type="spellEnd"/>
      <w:r>
        <w:t xml:space="preserve"> je pripravljala 3 različna letna poročila z različnimi vsebinami, pri čemer so se skupni zneski letnih prihodkov in odhodkov med poročili razlikovali, zato tovrstnih informacij ni mogoče oceniti kot zanesljive. Transparentnost poročanja je bila okrnjena tudi, ker </w:t>
      </w:r>
      <w:proofErr w:type="spellStart"/>
      <w:r>
        <w:t>ŠOUL</w:t>
      </w:r>
      <w:proofErr w:type="spellEnd"/>
      <w:r>
        <w:t xml:space="preserve"> poročanja ni prilagodila zahtevam Zakona o skupnosti študentov, saj bi morala letna poročila pripravljati v skladu s pravili, ki veljajo za pravne osebe javnega prava, in ne v skladu s pravili, ki veljajo za pravne osebe zasebnega prava. </w:t>
      </w:r>
      <w:proofErr w:type="spellStart"/>
      <w:r>
        <w:t>ŠOUL</w:t>
      </w:r>
      <w:proofErr w:type="spellEnd"/>
      <w:r>
        <w:t xml:space="preserve"> niti na področju načrtovanja niti na področju poročanja ni zagotovila vseh vsebin in dokumentov, ki bi ji omogočili spremljanje poslovanja z namenom zagotavljanja učinkovite in namenske porabe sredstev. Prav tako </w:t>
      </w:r>
      <w:proofErr w:type="spellStart"/>
      <w:r>
        <w:t>ŠOUL</w:t>
      </w:r>
      <w:proofErr w:type="spellEnd"/>
      <w:r>
        <w:t xml:space="preserve"> ni spremljala in nadzirala porabe sredstev pravnih oseb, katerih ustanoviteljica oziroma soustanoviteljica je, oziroma pravnih oseb, ki jim je dodelila sredstva, na način, da bi lahko potrdila namensko porabo dodeljenih sredstev.</w:t>
      </w:r>
    </w:p>
    <w:p w14:paraId="63B11AAB" w14:textId="77777777" w:rsidR="0056420D" w:rsidRDefault="0056420D" w:rsidP="0056420D">
      <w:pPr>
        <w:pStyle w:val="RStekst"/>
      </w:pPr>
      <w:r>
        <w:t xml:space="preserve">Računsko sodišče je od </w:t>
      </w:r>
      <w:proofErr w:type="spellStart"/>
      <w:r>
        <w:t>ŠOUL</w:t>
      </w:r>
      <w:proofErr w:type="spellEnd"/>
      <w:r>
        <w:t xml:space="preserve"> </w:t>
      </w:r>
      <w:r>
        <w:rPr>
          <w:b/>
        </w:rPr>
        <w:t>zahtevalo predložitev odzivnega poročila</w:t>
      </w:r>
      <w:r>
        <w:t xml:space="preserve"> in ji za izboljšanje poslovanja podalo več </w:t>
      </w:r>
      <w:r>
        <w:rPr>
          <w:b/>
        </w:rPr>
        <w:t>priporočil</w:t>
      </w:r>
      <w:r>
        <w:t>.</w:t>
      </w:r>
    </w:p>
    <w:p w14:paraId="5424E38D" w14:textId="77777777" w:rsidR="00C572B5" w:rsidRDefault="00C572B5" w:rsidP="003D1FAE">
      <w:pPr>
        <w:pStyle w:val="RStekst"/>
      </w:pPr>
    </w:p>
    <w:p w14:paraId="35897DF7" w14:textId="5C2B4DEB" w:rsidR="008629A2" w:rsidRDefault="008629A2" w:rsidP="008629A2">
      <w:pPr>
        <w:pStyle w:val="RStekst"/>
      </w:pPr>
      <w:r>
        <w:t xml:space="preserve">Ljubljana, </w:t>
      </w:r>
      <w:r w:rsidR="0056420D">
        <w:t>18. decembra 2023</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evilkastrani"/>
      </w:rPr>
      <w:id w:val="364955130"/>
      <w:docPartObj>
        <w:docPartGallery w:val="Page Numbers (Bottom of Page)"/>
        <w:docPartUnique/>
      </w:docPartObj>
    </w:sdtPr>
    <w:sdtEndPr>
      <w:rPr>
        <w:rStyle w:val="tevilkastrani"/>
        <w:szCs w:val="17"/>
      </w:rPr>
    </w:sdtEndPr>
    <w:sdtContent>
      <w:p w14:paraId="3EC5A8E8" w14:textId="41608489"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C572B5">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516606"/>
      <w:docPartObj>
        <w:docPartGallery w:val="Page Numbers (Bottom of Page)"/>
        <w:docPartUnique/>
      </w:docPartObj>
    </w:sdtPr>
    <w:sdtContent>
      <w:p w14:paraId="3828E961" w14:textId="0990B3C3" w:rsidR="00942819" w:rsidRDefault="0056420D" w:rsidP="0056420D">
        <w:pPr>
          <w:pStyle w:val="Noga"/>
          <w:jc w:val="right"/>
        </w:pPr>
        <w:r>
          <w:fldChar w:fldCharType="begin"/>
        </w:r>
        <w:r>
          <w:instrText>PAGE   \* MERGEFORMAT</w:instrText>
        </w:r>
        <w:r>
          <w:fldChar w:fldCharType="separate"/>
        </w:r>
        <w: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35633" w14:textId="77777777" w:rsidR="001E31A7" w:rsidRPr="00D92D47" w:rsidRDefault="001E31A7" w:rsidP="001E31A7">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59264" behindDoc="0" locked="1" layoutInCell="1" allowOverlap="1" wp14:anchorId="026DFAFF" wp14:editId="5042B87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r>
    <w:r w:rsidRPr="00D92D47">
      <w:rPr>
        <w:sz w:val="16"/>
        <w:szCs w:val="16"/>
      </w:rPr>
      <w:tab/>
      <w:t>E: sloaud@rs-rs.si</w:t>
    </w:r>
  </w:p>
  <w:p w14:paraId="72FA2CF8" w14:textId="3C5EBB37" w:rsidR="00AE7E48" w:rsidRPr="001E31A7" w:rsidRDefault="001E31A7" w:rsidP="001E31A7">
    <w:pPr>
      <w:tabs>
        <w:tab w:val="left" w:pos="3969"/>
      </w:tabs>
      <w:spacing w:line="240" w:lineRule="exact"/>
      <w:ind w:left="1" w:firstLine="1"/>
      <w:rPr>
        <w:b/>
      </w:rPr>
    </w:pPr>
    <w:r w:rsidRPr="00D92D47">
      <w:rPr>
        <w:sz w:val="16"/>
        <w:szCs w:val="16"/>
      </w:rPr>
      <w:tab/>
      <w:t>www.rs-rs.si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16cid:durableId="1697081429">
    <w:abstractNumId w:val="18"/>
  </w:num>
  <w:num w:numId="2" w16cid:durableId="772361051">
    <w:abstractNumId w:val="11"/>
  </w:num>
  <w:num w:numId="3" w16cid:durableId="617496095">
    <w:abstractNumId w:val="19"/>
    <w:lvlOverride w:ilvl="0">
      <w:startOverride w:val="1"/>
    </w:lvlOverride>
  </w:num>
  <w:num w:numId="4" w16cid:durableId="1209342171">
    <w:abstractNumId w:val="22"/>
  </w:num>
  <w:num w:numId="5" w16cid:durableId="681322482">
    <w:abstractNumId w:val="4"/>
  </w:num>
  <w:num w:numId="6" w16cid:durableId="433331305">
    <w:abstractNumId w:val="16"/>
  </w:num>
  <w:num w:numId="7" w16cid:durableId="742265362">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16cid:durableId="485587435">
    <w:abstractNumId w:val="12"/>
  </w:num>
  <w:num w:numId="9" w16cid:durableId="434979097">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16cid:durableId="103887793">
    <w:abstractNumId w:val="10"/>
  </w:num>
  <w:num w:numId="11" w16cid:durableId="298650574">
    <w:abstractNumId w:val="1"/>
  </w:num>
  <w:num w:numId="12" w16cid:durableId="1390150381">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16cid:durableId="1119177294">
    <w:abstractNumId w:val="14"/>
  </w:num>
  <w:num w:numId="14" w16cid:durableId="1037512347">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16cid:durableId="226303409">
    <w:abstractNumId w:val="9"/>
  </w:num>
  <w:num w:numId="16" w16cid:durableId="1748922287">
    <w:abstractNumId w:val="17"/>
  </w:num>
  <w:num w:numId="17" w16cid:durableId="1835952837">
    <w:abstractNumId w:val="13"/>
  </w:num>
  <w:num w:numId="18" w16cid:durableId="2086757865">
    <w:abstractNumId w:val="21"/>
  </w:num>
  <w:num w:numId="19" w16cid:durableId="1529441842">
    <w:abstractNumId w:val="2"/>
  </w:num>
  <w:num w:numId="20" w16cid:durableId="1231647860">
    <w:abstractNumId w:val="7"/>
  </w:num>
  <w:num w:numId="21" w16cid:durableId="924607191">
    <w:abstractNumId w:val="3"/>
  </w:num>
  <w:num w:numId="22" w16cid:durableId="2069724701">
    <w:abstractNumId w:val="23"/>
  </w:num>
  <w:num w:numId="23" w16cid:durableId="2125994597">
    <w:abstractNumId w:val="6"/>
  </w:num>
  <w:num w:numId="24" w16cid:durableId="660348006">
    <w:abstractNumId w:val="5"/>
  </w:num>
  <w:num w:numId="25" w16cid:durableId="16536823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2097618">
    <w:abstractNumId w:val="0"/>
  </w:num>
  <w:num w:numId="27" w16cid:durableId="111701933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mirrorMargins/>
  <w:hideSpellingError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6420D"/>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382597">
      <w:bodyDiv w:val="1"/>
      <w:marLeft w:val="0"/>
      <w:marRight w:val="0"/>
      <w:marTop w:val="0"/>
      <w:marBottom w:val="0"/>
      <w:divBdr>
        <w:top w:val="none" w:sz="0" w:space="0" w:color="auto"/>
        <w:left w:val="none" w:sz="0" w:space="0" w:color="auto"/>
        <w:bottom w:val="none" w:sz="0" w:space="0" w:color="auto"/>
        <w:right w:val="none" w:sz="0" w:space="0" w:color="auto"/>
      </w:divBdr>
    </w:div>
    <w:div w:id="1576937829">
      <w:bodyDiv w:val="1"/>
      <w:marLeft w:val="0"/>
      <w:marRight w:val="0"/>
      <w:marTop w:val="0"/>
      <w:marBottom w:val="0"/>
      <w:divBdr>
        <w:top w:val="none" w:sz="0" w:space="0" w:color="auto"/>
        <w:left w:val="none" w:sz="0" w:space="0" w:color="auto"/>
        <w:bottom w:val="none" w:sz="0" w:space="0" w:color="auto"/>
        <w:right w:val="none" w:sz="0" w:space="0" w:color="auto"/>
      </w:divBdr>
    </w:div>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00FFD-028A-4A29-AEB9-CF2058308C28}">
  <ds:schemaRefs>
    <ds:schemaRef ds:uri="http://purl.org/dc/elements/1.1/"/>
    <ds:schemaRef ds:uri="http://schemas.microsoft.com/office/2006/metadata/properties"/>
    <ds:schemaRef ds:uri="1e3d3dff-4392-4e99-aebd-c95b4ee1afd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5351</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2023-12-15T14:39:00Z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