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59BD5382" w:rsidR="008629A2" w:rsidRPr="00F4569E" w:rsidRDefault="008629A2" w:rsidP="008629A2">
      <w:pPr>
        <w:pStyle w:val="RSGLAVNINASLOV"/>
        <w:rPr>
          <w:spacing w:val="-2"/>
        </w:rPr>
      </w:pPr>
      <w:r w:rsidRPr="009176A9">
        <w:rPr>
          <w:spacing w:val="-2"/>
        </w:rPr>
        <w:t>Povzetek revizijskega poročila</w:t>
      </w:r>
      <w:r w:rsidR="00ED1348">
        <w:rPr>
          <w:spacing w:val="-2"/>
        </w:rPr>
        <w:br/>
      </w:r>
      <w:r w:rsidR="00ED1348" w:rsidRPr="0024424E">
        <w:t>Vzpostavitev pogojev za izvajanje pogrebne in pokopališke dejavnosti in nadzor nad njunim izvajanjem</w:t>
      </w:r>
      <w:r w:rsidRPr="009176A9">
        <w:rPr>
          <w:spacing w:val="-2"/>
        </w:rPr>
        <w:t xml:space="preserve"> </w:t>
      </w:r>
    </w:p>
    <w:p w14:paraId="398CF1CD" w14:textId="77777777" w:rsidR="00ED1348" w:rsidRPr="00ED1348" w:rsidRDefault="00ED1348" w:rsidP="00ED1348">
      <w:pPr>
        <w:pStyle w:val="RStekst"/>
      </w:pPr>
      <w:r w:rsidRPr="0024424E">
        <w:t xml:space="preserve">Računsko sodišče je revidiralo učinkovitost poslovanja </w:t>
      </w:r>
      <w:r w:rsidRPr="0024424E">
        <w:rPr>
          <w:b/>
        </w:rPr>
        <w:t>Ministrstva za gospodarski razvoj in tehnologijo, ki od 24. 1. 2023 posluje kot Ministrstvo za gospodarstvo, turizem in šport</w:t>
      </w:r>
      <w:r w:rsidRPr="0024424E">
        <w:t xml:space="preserve"> (v nadaljevanju: ministrstvo), pri vzpostavitvi pogojev za izvajanje pogrebne in pokopališke dejavnosti ter pri nadzoru nad njunim izvajanjem v obdobju od leta 2017 do 30. 6. 2021. Po mnenju </w:t>
      </w:r>
      <w:r w:rsidRPr="00ED1348">
        <w:t xml:space="preserve">računskega sodišča je bilo ministrstvo pri tem </w:t>
      </w:r>
      <w:r w:rsidRPr="00ED1348">
        <w:rPr>
          <w:b/>
        </w:rPr>
        <w:t>neučinkovito.</w:t>
      </w:r>
    </w:p>
    <w:p w14:paraId="6F251438" w14:textId="77777777" w:rsidR="00ED1348" w:rsidRPr="0024424E" w:rsidRDefault="00ED1348" w:rsidP="00ED1348">
      <w:pPr>
        <w:pStyle w:val="RStekst"/>
      </w:pPr>
      <w:r w:rsidRPr="0024424E">
        <w:t>Pogrebno in pokopališko dejavnost od 15. 10. 2016 ureja Zakon o pogrebni in pokopališki dejavnosti (ZPPDej). Pogrebna dejavnost se deli na 24-urno dežurno službo, ki je obvezna občinska gospodarska javna služba (GJS), in pogrebno dejavnost, ki se izvaja na trgu. Pokopališka dejavnost pa obsega upravljanje in urejanje pokopališč in jo zagotavlja obč</w:t>
      </w:r>
      <w:bookmarkStart w:id="0" w:name="_GoBack"/>
      <w:bookmarkEnd w:id="0"/>
      <w:r w:rsidRPr="0024424E">
        <w:t xml:space="preserve">ina. Občine in izvajalci pogrebne dejavnosti so morali uskladiti svojo dejavnost z ZPPDej v 1 letu od njegove uveljavitve. </w:t>
      </w:r>
    </w:p>
    <w:p w14:paraId="7C85A4DF" w14:textId="77777777" w:rsidR="00ED1348" w:rsidRPr="0024424E" w:rsidRDefault="00ED1348" w:rsidP="00ED1348">
      <w:pPr>
        <w:pStyle w:val="RStekst"/>
      </w:pPr>
      <w:r w:rsidRPr="0024424E">
        <w:t>Ministrstvo ni predlagalo dopolnitve ZPPDej z jasno in nedvoumno opredelitvijo 24-urne dežurne službe, čeprav je prihajalo do različnih razlag ministrstva in sodišč, ki so zadevo obravnavala, glede vsebine oziroma obsega 24-urne dežurne službe. Ministrstvo ni proučilo možnosti vključitve med izjeme tudi primerov, ko se pokojnik že nahaja v ustreznih prostorih za</w:t>
      </w:r>
      <w:r>
        <w:t xml:space="preserve"> njegovo pripravo v </w:t>
      </w:r>
      <w:r w:rsidRPr="0024424E">
        <w:t>zdravstveni ustanovi ali domu starejših občanov in storitev 24-urne dežurne službe ne bi bila potrebna, s čimer je dopustilo njeno zaračunavanje tudi v primerih, ko se storitev 24-urne dežurne službe ni izvedla. Ministrstvo ni pripravilo predpisanih normativov za izvajanje GJS ter ni predlagalo dopolnitve ZPPDej z določitvijo načina in postopka oblikovanja cen GJS ter z nedvoumno opredelitvijo plačnika storitev 24-urne dežurne službe.</w:t>
      </w:r>
    </w:p>
    <w:p w14:paraId="2E12FB05" w14:textId="77777777" w:rsidR="00ED1348" w:rsidRPr="0024424E" w:rsidRDefault="00ED1348" w:rsidP="00ED1348">
      <w:pPr>
        <w:pStyle w:val="RStekst"/>
      </w:pPr>
      <w:r w:rsidRPr="0024424E">
        <w:t xml:space="preserve">Ministrstvo ni predlagalo dopolnitve ZPPDej, da bi bile v osnovni pogreb vključene vse nujne storitve za njegovo izvedbo, kot so storitve prevoza pokojnika (vključno s 24-urno dežurno službo) in upepelitev, zato lahko plačilo osnovnega pogreba presega zakonsko določeno višino cene (1.206,54 EUR). Ministrstvo tudi ni predlagalo sprememb ZPPDej v delu, ki se nanaša na storitve pokopališkega pogrebnega moštva, zato lahko občine v odlokih predpišejo, da del storitev izvedbe pogreba, ki jih ZPPDej opredeljuje kot tržne storitve, izvedejo le upravljavci pokopališč. </w:t>
      </w:r>
    </w:p>
    <w:p w14:paraId="2934B9F9" w14:textId="77777777" w:rsidR="00ED1348" w:rsidRPr="0024424E" w:rsidRDefault="00ED1348" w:rsidP="00ED1348">
      <w:pPr>
        <w:pStyle w:val="RStekst"/>
      </w:pPr>
      <w:r w:rsidRPr="0024424E">
        <w:t>Čeprav je ministrstvo razlagalo, da je pokopališka dejavnost GJS, ni</w:t>
      </w:r>
      <w:r>
        <w:t xml:space="preserve"> predlagalo dopolnitve ZPPDej z </w:t>
      </w:r>
      <w:r w:rsidRPr="0024424E">
        <w:t>določitvijo pokopališke dejavnosti kot GJS in z določilom o sprejemu podzakonskega predpisa</w:t>
      </w:r>
      <w:r>
        <w:t xml:space="preserve"> o </w:t>
      </w:r>
      <w:r w:rsidRPr="0024424E">
        <w:t>metodologiji za oblikovanje cen storitev upravljanja pokopališč, niti ni pripravilo standardov in normativov za opravljanje pokopališke dejavnosti. Ministrstvo ni predlagalo popravka določitve izračuna stroškov grobnine v ZPPDej, ki dopušča ponovno zaračunavanje storitev najema pokopaliških objektov in naprav ter storitev grobarjev in pokopališkega pogrebnega moštva, ki so bile zaračunane že ob izvedbi pogreba.</w:t>
      </w:r>
    </w:p>
    <w:p w14:paraId="66CF400D" w14:textId="77777777" w:rsidR="00ED1348" w:rsidRPr="0024424E" w:rsidRDefault="00ED1348" w:rsidP="00ED1348">
      <w:pPr>
        <w:pStyle w:val="RStekst"/>
      </w:pPr>
      <w:r w:rsidRPr="0024424E">
        <w:lastRenderedPageBreak/>
        <w:t xml:space="preserve">Ministrstvo občinam, ki jim ZPPDej nalaga upravljanje pokopališč, ni podalo obrazložitve in načina pridobitve razpolagalnih pravic za pokopališča, ki niso v njihovi lasti. Ministrstvo ni predlagalo dopolnitve zakonskih podlag, po katerih bi lahko občine za upravljavca pokopališča neposredno določile javno podjetje, tudi če upravljanje pokopališč ni GJS. Ministrstvo tudi ni predlagalo jasne določitve virov financiranja investicij, enotne objave cen storitev upravljanja pokopališč in določitve višine pogrebne pristojbine glede na višino grobnine. </w:t>
      </w:r>
    </w:p>
    <w:p w14:paraId="37D90E36" w14:textId="77777777" w:rsidR="00ED1348" w:rsidRPr="0024424E" w:rsidRDefault="00ED1348" w:rsidP="00ED1348">
      <w:pPr>
        <w:pStyle w:val="RStekst"/>
      </w:pPr>
      <w:r w:rsidRPr="0024424E">
        <w:t xml:space="preserve">Ministrstvo ni izvedlo aktivnosti za pravočasno zagotovitev podzakonskih predpisov ter Standardov in normativov za osnovni pogreb, zaradi česar občine in izvajalci pogrebne dejavnosti svojih dejavnosti niso mogli pravočasno uskladiti z ZPPDej. Ministrstvo je v predlogu Uredbe o metodologiji za oblikovanje cen 24-urne dežurne službe uredilo vsebino, za katero ni podlage v zakonu, ni pa zagotovilo, da bi navedena uredba predpisovala roke in obrazce, ki bi omogočali sprotno in pregledno poročanje izvajalcev 24-urne dežurne službe. Ministrstvo deležnikom pogrebne in pokopališke dejavnosti ni vedno nudilo ustrezne strokovne pomoči. </w:t>
      </w:r>
    </w:p>
    <w:p w14:paraId="1D02FF24" w14:textId="77777777" w:rsidR="00ED1348" w:rsidRPr="0024424E" w:rsidRDefault="00ED1348" w:rsidP="00ED1348">
      <w:pPr>
        <w:pStyle w:val="RStekst"/>
      </w:pPr>
      <w:r w:rsidRPr="0024424E">
        <w:t>Ministrstvo ni predpisalo postopka izdaje dovoljenja za opravljanje pogrebne dejavnosti, zato ni vzpostavilo pogojev za enakopravno in pregledno obravnavo vlog, izvajalcev pa ni zavezalo</w:t>
      </w:r>
      <w:r>
        <w:t xml:space="preserve"> k </w:t>
      </w:r>
      <w:r w:rsidRPr="0024424E">
        <w:t>sporočanju sprememb glede izpolnjevanja pogojev. Ker pri izdaji dovoljenja ni preverilo verodostojnosti predloženih listinskih dokazil, je dovoljenja izdalo tudi izvajalcem pogrebne dejavnosti, ki niso izpolnjevali vseh predpisanih pogojev. Ministrstvo ni vodilo predpisanih evidenc v skladu z določili ZPPDej, s podatki ni upravljalo v skladu z določili ZPPDej, podatkov pa tudi ni posodabljalo.</w:t>
      </w:r>
    </w:p>
    <w:p w14:paraId="1702D389" w14:textId="77777777" w:rsidR="00ED1348" w:rsidRPr="0024424E" w:rsidRDefault="00ED1348" w:rsidP="00ED1348">
      <w:pPr>
        <w:pStyle w:val="RStekst"/>
      </w:pPr>
      <w:r w:rsidRPr="0024424E">
        <w:t>Ministrstvo ni vzpostavilo postopka pridobivanja in vodenja podatkov o sprejetih občinskih odlokih o pokopališkem redu in o uskladitvi pogrebne in pokopališke dejavnosti z ZPP</w:t>
      </w:r>
      <w:r>
        <w:t>Dej, zato podatki o </w:t>
      </w:r>
      <w:r w:rsidRPr="0024424E">
        <w:t>sprejetih občinskih odlokih, izvajalcih 24-urne dežurne službe in upravljavcih pokopališč, ki jih je ministrstvo spremljalo v preglednici, niso bili celoviti, popolni ter pravilni in ministrstvu niso omogočali izvajanja učinkovitega nadzora nad izpolnjevanjem obveznosti občin po ZPPDej. Ministrstvo tudi ni izvajalo nadzorov nad skladnostjo predpisov</w:t>
      </w:r>
      <w:r>
        <w:t xml:space="preserve"> občin in njihovega izvajanja z </w:t>
      </w:r>
      <w:r w:rsidRPr="0024424E">
        <w:t>ZPPDej, niti ni preverjalo vsebine prejetih elaboratov o ceni 24-urne dežurne službe, zato ni bilo seznanjeno z neskladno ali nepopolno ureditvijo pogrebne in po</w:t>
      </w:r>
      <w:r>
        <w:t>kopališke dejavnosti z ZPPDej v </w:t>
      </w:r>
      <w:r w:rsidRPr="0024424E">
        <w:t xml:space="preserve">odlokih nekaterih občin in z neskladnostjo nekaterih elaboratov z določili Uredbe o metodologiji za oblikovanje cen 24-urne dežurne službe. </w:t>
      </w:r>
    </w:p>
    <w:p w14:paraId="6279DEDF" w14:textId="77777777" w:rsidR="00ED1348" w:rsidRPr="0024424E" w:rsidRDefault="00ED1348" w:rsidP="00ED1348">
      <w:pPr>
        <w:pStyle w:val="RStekst"/>
      </w:pPr>
      <w:r w:rsidRPr="0024424E">
        <w:t>Posledica pomanjkljivega nadzora ministrstva nad sprejetjem občinskih predpisov in izvajanja dejavnosti po ZPPDej ter deloma nejasne in nepopolne ureditve 24-urne dežurne službe in pokopališke dejavnosti v ZPPDej je, da 30. 6. 2021, to je več kot 3 leta in pol po zakonskem roku za sprejem občinskih predpisov po ZPPDej in za zagotovitev izv</w:t>
      </w:r>
      <w:r>
        <w:t>ajanja 24-urne dežurne službe v </w:t>
      </w:r>
      <w:r w:rsidRPr="0024424E">
        <w:t>občinah, skoraj tretjina (68) občin ni sprejela odloka o pokopališkem redu po ZPPDej, 24-urna dežurna služba pa se je v skladu z določili ZPPDej izvajala le v slabi tretjini (64) občin.</w:t>
      </w:r>
    </w:p>
    <w:p w14:paraId="21CC44C3" w14:textId="0FA858A8" w:rsidR="003D1FAE" w:rsidRDefault="00ED1348" w:rsidP="00ED1348">
      <w:pPr>
        <w:pStyle w:val="RStekst"/>
      </w:pPr>
      <w:r w:rsidRPr="0024424E">
        <w:t xml:space="preserve">Računsko sodišče je od ministrstva </w:t>
      </w:r>
      <w:r w:rsidRPr="00903175">
        <w:rPr>
          <w:b/>
        </w:rPr>
        <w:t>zahtevalo predložitev</w:t>
      </w:r>
      <w:r w:rsidRPr="0024424E">
        <w:t xml:space="preserve"> </w:t>
      </w:r>
      <w:r w:rsidRPr="0024424E">
        <w:rPr>
          <w:b/>
        </w:rPr>
        <w:t>odzivnega poročila</w:t>
      </w:r>
      <w:r w:rsidRPr="00903175">
        <w:rPr>
          <w:b/>
        </w:rPr>
        <w:t>,</w:t>
      </w:r>
      <w:r w:rsidRPr="0024424E">
        <w:t xml:space="preserve"> v katerem mora izkazati načrt aktivnosti za spremembo in dopolnitev ZPPDej in Uredbe o metodologiji za oblikovanje cen 24-urne dežurne službe, za izboljšanje poslovanja pa mu je podalo več </w:t>
      </w:r>
      <w:r w:rsidRPr="0024424E">
        <w:rPr>
          <w:b/>
        </w:rPr>
        <w:t>priporočil</w:t>
      </w:r>
      <w:r>
        <w:rPr>
          <w:b/>
        </w:rPr>
        <w:t>.</w:t>
      </w:r>
    </w:p>
    <w:p w14:paraId="35897DF7" w14:textId="6183EE42" w:rsidR="008629A2" w:rsidRDefault="008629A2" w:rsidP="008629A2">
      <w:pPr>
        <w:pStyle w:val="RStekst"/>
      </w:pPr>
      <w:r>
        <w:t xml:space="preserve">Ljubljana, </w:t>
      </w:r>
      <w:r w:rsidR="00ED1348">
        <w:t>27. junija 2023</w:t>
      </w:r>
    </w:p>
    <w:sectPr w:rsidR="008629A2" w:rsidSect="000A0B85">
      <w:headerReference w:type="default" r:id="rId10"/>
      <w:footerReference w:type="even" r:id="rId11"/>
      <w:footerReference w:type="default" r:id="rId12"/>
      <w:headerReference w:type="first" r:id="rId13"/>
      <w:footerReference w:type="first" r:id="rId14"/>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0A91727E"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sidR="00ED1348">
          <w:rPr>
            <w:rStyle w:val="tevilkastrani"/>
          </w:rPr>
          <w:fldChar w:fldCharType="separate"/>
        </w:r>
        <w:r w:rsidR="00ED1348">
          <w:rPr>
            <w:rStyle w:val="tevilkastrani"/>
            <w:noProof/>
          </w:rPr>
          <w:t>8</w: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1A09E0A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ED1348">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16D15921"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ED1348">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5633" w14:textId="77777777" w:rsidR="001E31A7" w:rsidRPr="00D92D47" w:rsidRDefault="001E31A7" w:rsidP="001E31A7">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59264" behindDoc="0" locked="1" layoutInCell="1" allowOverlap="1" wp14:anchorId="026DFAFF" wp14:editId="5042B87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r>
    <w:r w:rsidRPr="00D92D47">
      <w:rPr>
        <w:sz w:val="16"/>
        <w:szCs w:val="16"/>
      </w:rPr>
      <w:tab/>
      <w:t>E: sloaud@rs-rs.si</w:t>
    </w:r>
  </w:p>
  <w:p w14:paraId="72FA2CF8" w14:textId="3C5EBB37" w:rsidR="00AE7E48" w:rsidRPr="001E31A7" w:rsidRDefault="001E31A7" w:rsidP="001E31A7">
    <w:pPr>
      <w:tabs>
        <w:tab w:val="left" w:pos="3969"/>
      </w:tabs>
      <w:spacing w:line="240" w:lineRule="exact"/>
      <w:ind w:left="1" w:firstLine="1"/>
      <w:rPr>
        <w:b/>
      </w:rPr>
    </w:pPr>
    <w:r w:rsidRPr="00D92D47">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1348"/>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0" ma:contentTypeDescription="Create a new document." ma:contentTypeScope="" ma:versionID="9c1c0c954029d9c65a3c30f95878d3fa">
  <xsd:schema xmlns:xsd="http://www.w3.org/2001/XMLSchema" xmlns:xs="http://www.w3.org/2001/XMLSchema" xmlns:p="http://schemas.microsoft.com/office/2006/metadata/properties" targetNamespace="http://schemas.microsoft.com/office/2006/metadata/properties" ma:root="true" ma:fieldsID="ac35be0cfd693321af83a9b73d26a9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82E99395-FA36-4E1D-91EA-0DC5C14A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2023-06-26T11:26:00Z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