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292F171A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EB33D0">
        <w:rPr>
          <w:spacing w:val="-2"/>
        </w:rPr>
        <w:br/>
      </w:r>
      <w:r w:rsidR="00EB33D0" w:rsidRPr="00EB33D0">
        <w:rPr>
          <w:spacing w:val="-2"/>
        </w:rPr>
        <w:t>Pravilnost dela poslovanja Občine Zreče</w:t>
      </w:r>
    </w:p>
    <w:p w14:paraId="06D4007D" w14:textId="77777777" w:rsidR="00EB33D0" w:rsidRPr="005B1896" w:rsidRDefault="00EB33D0" w:rsidP="00EB33D0">
      <w:pPr>
        <w:widowControl/>
        <w:adjustRightInd w:val="0"/>
        <w:snapToGrid w:val="0"/>
        <w:spacing w:before="240" w:after="240" w:line="280" w:lineRule="exact"/>
        <w:contextualSpacing w:val="0"/>
        <w:jc w:val="both"/>
        <w:rPr>
          <w:rFonts w:asciiTheme="minorHAnsi" w:hAnsiTheme="minorHAnsi"/>
          <w:bCs/>
          <w:sz w:val="20"/>
        </w:rPr>
      </w:pPr>
      <w:r w:rsidRPr="005B1896">
        <w:rPr>
          <w:rFonts w:asciiTheme="minorHAnsi" w:hAnsiTheme="minorHAnsi"/>
          <w:bCs/>
          <w:sz w:val="20"/>
        </w:rPr>
        <w:t xml:space="preserve">Računsko sodišče je revidiralo pravilnost poslovanja </w:t>
      </w:r>
      <w:r w:rsidRPr="00880CE9">
        <w:rPr>
          <w:rFonts w:asciiTheme="minorHAnsi" w:hAnsiTheme="minorHAnsi"/>
          <w:b/>
          <w:bCs/>
          <w:sz w:val="20"/>
        </w:rPr>
        <w:t>Občine Zreče v letu 2021</w:t>
      </w:r>
      <w:r w:rsidRPr="005B1896">
        <w:rPr>
          <w:rFonts w:asciiTheme="minorHAnsi" w:hAnsiTheme="minorHAnsi"/>
          <w:bCs/>
          <w:sz w:val="20"/>
        </w:rPr>
        <w:t xml:space="preserve"> </w:t>
      </w:r>
      <w:r w:rsidRPr="005B1896">
        <w:rPr>
          <w:rFonts w:asciiTheme="minorHAnsi" w:hAnsiTheme="minorHAnsi"/>
          <w:b/>
          <w:bCs/>
          <w:sz w:val="20"/>
        </w:rPr>
        <w:t>v delu, ki se nanaša na pripravo proračuna in zaključnega računa proračuna ter izvrševanje proračuna, prodaje nepremičnega premoženja in oddaje prostorov v najem, javna naročila pri investicijskih odhodkih, tekoče transfere (tekoče transfere za prevoze učencev osnovne šole in tekoče transfere nepridobitnim organizacijam in ustanovam), zadolževanje ter druga področja poslovanja</w:t>
      </w:r>
      <w:r w:rsidRPr="005B1896">
        <w:rPr>
          <w:rFonts w:asciiTheme="minorHAnsi" w:hAnsiTheme="minorHAnsi"/>
          <w:bCs/>
          <w:sz w:val="20"/>
        </w:rPr>
        <w:t>. Cilj revizije je bil izrek mnenja o pravilnosti poslovanja Občine Zreče v letu 2021 v delu, ki se nanaša na pripravo proračuna in zaključnega računa proračuna ter izvrševanje proračuna, prodaje nepremičnega premoženja in oddaje prostorov v najem, javna naročila pri investicijskih odhodkih, tekoče transfere (tekoče transfere za prevoze učencev osnovne šole in tekoče transfere nepridobitnim organizacijam in ustanovam), zadolževanje ter druga področja poslovanja.</w:t>
      </w:r>
    </w:p>
    <w:p w14:paraId="0E235D5B" w14:textId="77777777" w:rsidR="00EB33D0" w:rsidRPr="005B1896" w:rsidRDefault="00EB33D0" w:rsidP="00EB33D0">
      <w:pPr>
        <w:widowControl/>
        <w:adjustRightInd w:val="0"/>
        <w:snapToGrid w:val="0"/>
        <w:spacing w:before="240" w:after="240" w:line="280" w:lineRule="exact"/>
        <w:contextualSpacing w:val="0"/>
        <w:jc w:val="both"/>
        <w:rPr>
          <w:rFonts w:asciiTheme="minorHAnsi" w:hAnsiTheme="minorHAnsi"/>
          <w:bCs/>
          <w:sz w:val="20"/>
        </w:rPr>
      </w:pPr>
      <w:r w:rsidRPr="00EB33D0">
        <w:rPr>
          <w:rFonts w:asciiTheme="minorHAnsi" w:hAnsiTheme="minorHAnsi"/>
          <w:bCs/>
          <w:spacing w:val="-2"/>
          <w:sz w:val="20"/>
        </w:rPr>
        <w:t xml:space="preserve">Računsko sodišče je o pravilnosti dela poslovanja Občine Zreče v letu 2021 izreklo </w:t>
      </w:r>
      <w:r w:rsidRPr="00EB33D0">
        <w:rPr>
          <w:rFonts w:asciiTheme="minorHAnsi" w:hAnsiTheme="minorHAnsi"/>
          <w:b/>
          <w:bCs/>
          <w:spacing w:val="-2"/>
          <w:sz w:val="20"/>
        </w:rPr>
        <w:t>negativno mnenje,</w:t>
      </w:r>
      <w:r w:rsidRPr="00EB33D0">
        <w:rPr>
          <w:rFonts w:asciiTheme="minorHAnsi" w:hAnsiTheme="minorHAnsi"/>
          <w:bCs/>
          <w:sz w:val="20"/>
        </w:rPr>
        <w:t xml:space="preserve"> </w:t>
      </w:r>
      <w:r w:rsidRPr="005B1896">
        <w:rPr>
          <w:rFonts w:asciiTheme="minorHAnsi" w:hAnsiTheme="minorHAnsi"/>
          <w:bCs/>
          <w:sz w:val="20"/>
        </w:rPr>
        <w:t>ker občina ni poslovala v skladu s predpisi in pogodbenimi določili v naslednjih primerih:</w:t>
      </w:r>
    </w:p>
    <w:p w14:paraId="7DC12A65" w14:textId="77777777" w:rsidR="00EB33D0" w:rsidRPr="005B1896" w:rsidRDefault="00EB33D0" w:rsidP="00EB33D0">
      <w:pPr>
        <w:pStyle w:val="RSnatevanje"/>
        <w:keepLines w:val="0"/>
        <w:numPr>
          <w:ilvl w:val="0"/>
          <w:numId w:val="29"/>
        </w:numPr>
        <w:spacing w:after="80"/>
      </w:pPr>
      <w:r w:rsidRPr="005B1896">
        <w:tab/>
      </w:r>
      <w:r w:rsidRPr="005B1896">
        <w:tab/>
        <w:t>poročilo o izvrševanju proračuna v prvem polletju 2021, obrazložitve</w:t>
      </w:r>
      <w:r>
        <w:t xml:space="preserve"> proračuna občine za </w:t>
      </w:r>
      <w:r w:rsidRPr="005B1896">
        <w:t xml:space="preserve">leto 2021 in poslovno poročilo za leto 2021 niso popolni; </w:t>
      </w:r>
      <w:r w:rsidRPr="005B1896">
        <w:rPr>
          <w:rStyle w:val="RSnatevanjeZnak1"/>
        </w:rPr>
        <w:t>župan ni 6-mesečno poročal občinskemu svetu o izvršenih prerazporeditvah, ki so se zgodile med proračunskim letom; porabljenih sredstev splošne proračunske rez</w:t>
      </w:r>
      <w:r>
        <w:rPr>
          <w:rStyle w:val="RSnatevanjeZnak1"/>
        </w:rPr>
        <w:t>ervacije v skupnem znesku 9.973 </w:t>
      </w:r>
      <w:r w:rsidRPr="005B1896">
        <w:rPr>
          <w:rStyle w:val="RSnatevanjeZnak1"/>
        </w:rPr>
        <w:t>EUR ni razporedila v proračun občine za leto 2021;</w:t>
      </w:r>
      <w:r w:rsidRPr="005B1896">
        <w:t xml:space="preserve"> ni zagotovila evidentiranja predobremenitev proračuna oziroma ni vzpostavila evidence prevzetih obveznosti v breme proračunov prihodnjih let;</w:t>
      </w:r>
    </w:p>
    <w:p w14:paraId="768469B0" w14:textId="77777777" w:rsidR="00EB33D0" w:rsidRPr="005B1896" w:rsidRDefault="00EB33D0" w:rsidP="00EB33D0">
      <w:pPr>
        <w:pStyle w:val="RSnatevanje"/>
        <w:keepLines w:val="0"/>
        <w:numPr>
          <w:ilvl w:val="0"/>
          <w:numId w:val="29"/>
        </w:numPr>
        <w:spacing w:after="80"/>
        <w:rPr>
          <w:lang w:eastAsia="sl-SI"/>
        </w:rPr>
      </w:pPr>
      <w:r w:rsidRPr="005B1896">
        <w:t xml:space="preserve">menjavo nepremičnin je izvedla na podlagi metode neposredne pogodbe, čeprav za to ni bil izpolnjen pogoj; v 1 primeru prodaje nepremičnega premoženja in 6 primerih oddaje nepremičnega premoženja v najem ni imenovala skrbnika pravnega posla oziroma ga ni določila v pogodbi; v 1 primeru oddaje prostorov v najem ni pripravila posamičnega programa upravljanja; </w:t>
      </w:r>
      <w:r w:rsidRPr="005B1896">
        <w:rPr>
          <w:lang w:eastAsia="sl-SI"/>
        </w:rPr>
        <w:t>ni izkazala, da je bila oprostitev plačila najemnine upravičena;</w:t>
      </w:r>
      <w:r w:rsidRPr="005B1896">
        <w:t xml:space="preserve"> ni izvedla postopkov javnih naročil za investicijsko vzdrževanje nepremičnega premoženja in je dopustila, da je najemnik sam izvedel investicijska vlaganja v poslovni prostor v lasti občine; najemniku je zaračunala prenizko najemnino; </w:t>
      </w:r>
      <w:r w:rsidRPr="005B1896">
        <w:rPr>
          <w:rFonts w:cstheme="majorHAnsi"/>
        </w:rPr>
        <w:t>ni zagotavljala popolnega in pravočasnega pobiranja prejemkov proračuna iz svoje pristojnosti ter izločanja teh prejemkov v proračun;</w:t>
      </w:r>
    </w:p>
    <w:p w14:paraId="50D76EA9" w14:textId="77777777" w:rsidR="00EB33D0" w:rsidRPr="005B1896" w:rsidRDefault="00EB33D0" w:rsidP="00EB33D0">
      <w:pPr>
        <w:pStyle w:val="RSnatevanje"/>
        <w:keepLines w:val="0"/>
        <w:numPr>
          <w:ilvl w:val="0"/>
          <w:numId w:val="29"/>
        </w:numPr>
        <w:spacing w:after="80"/>
        <w:rPr>
          <w:lang w:eastAsia="sl-SI"/>
        </w:rPr>
      </w:pPr>
      <w:r w:rsidRPr="005B1896">
        <w:rPr>
          <w:lang w:eastAsia="sl-SI"/>
        </w:rPr>
        <w:t>v 3 primerih ni pridobila oziroma je prepozno pridobila finančno zavarovanje za dobro izvedbo pogodbenih obveznosti oziroma za odpravo napak v garancijskem roku; aneks za več in manj dela v vrednosti 3.144 EUR je sklenila po zaključku del; s sklenitvijo 2 pogodb in izdajo 2 naročilnic je prevzela za skupaj 61.760 EUR več obveznosti, kot je imela za ta namen zagotovljenih sredstev na proračunskih postavkah ob prevzemu obv</w:t>
      </w:r>
      <w:r>
        <w:rPr>
          <w:lang w:eastAsia="sl-SI"/>
        </w:rPr>
        <w:t>eznosti, in izplačala za 11.861 </w:t>
      </w:r>
      <w:r w:rsidRPr="005B1896">
        <w:rPr>
          <w:lang w:eastAsia="sl-SI"/>
        </w:rPr>
        <w:t xml:space="preserve">EUR več sredstev, kot je imela za ta namen zagotovljenih sredstev na proračunskih postavkah ob plačilu obveznosti; prevzela in plačala je obveznosti v skupnem znesku </w:t>
      </w:r>
      <w:r w:rsidRPr="005B1896">
        <w:rPr>
          <w:lang w:eastAsia="sl-SI"/>
        </w:rPr>
        <w:lastRenderedPageBreak/>
        <w:t>89.164 EUR brez DDV</w:t>
      </w:r>
      <w:r>
        <w:rPr>
          <w:lang w:eastAsia="sl-SI"/>
        </w:rPr>
        <w:t xml:space="preserve"> </w:t>
      </w:r>
      <w:r w:rsidRPr="005B1896">
        <w:rPr>
          <w:lang w:eastAsia="sl-SI"/>
        </w:rPr>
        <w:t>za dela vzdrževanja vodovodnega omrežja, ki so bila naročena s pogodbo, ki v letu 2021 ni več veljala</w:t>
      </w:r>
      <w:r>
        <w:rPr>
          <w:lang w:eastAsia="sl-SI"/>
        </w:rPr>
        <w:t>,</w:t>
      </w:r>
      <w:r w:rsidRPr="005B1896">
        <w:rPr>
          <w:lang w:eastAsia="sl-SI"/>
        </w:rPr>
        <w:t xml:space="preserve"> in ni izvedla enega izmed postopkov oddaje javnega naročila; </w:t>
      </w:r>
      <w:r>
        <w:t>v 4 </w:t>
      </w:r>
      <w:r w:rsidRPr="005B1896">
        <w:t xml:space="preserve">primerih za izvedbo projekta, ni pripravila dokumenta identifikacije investicijskega projekta oziroma poenostavljene investicijske dokumentacije; izvedla </w:t>
      </w:r>
      <w:r>
        <w:t xml:space="preserve">je </w:t>
      </w:r>
      <w:r w:rsidRPr="005B1896">
        <w:t xml:space="preserve">postopek oddaje javnega naročila z zbiranjem ponudb, vendar pa je pri tem izbrala ponudnika </w:t>
      </w:r>
      <w:r w:rsidRPr="005B1896">
        <w:rPr>
          <w:rStyle w:val="RSpodnaslov2aChar"/>
        </w:rPr>
        <w:t>s slabo bonitetno oceno oziroma velikim tveganjem za insolventnost;</w:t>
      </w:r>
    </w:p>
    <w:p w14:paraId="73BD2E9F" w14:textId="77777777" w:rsidR="00EB33D0" w:rsidRPr="005B1896" w:rsidRDefault="00EB33D0" w:rsidP="00EB33D0">
      <w:pPr>
        <w:pStyle w:val="RSnatevanje"/>
        <w:keepLines w:val="0"/>
        <w:numPr>
          <w:ilvl w:val="0"/>
          <w:numId w:val="29"/>
        </w:numPr>
        <w:spacing w:after="80"/>
        <w:rPr>
          <w:lang w:eastAsia="sl-SI"/>
        </w:rPr>
      </w:pPr>
      <w:r w:rsidRPr="005B1896">
        <w:t xml:space="preserve">pri 2 javnih razpisih ni sprejela sklepov o začetku postopka; </w:t>
      </w:r>
      <w:r w:rsidRPr="005B1896">
        <w:rPr>
          <w:lang w:eastAsia="sl-SI"/>
        </w:rPr>
        <w:t>o</w:t>
      </w:r>
      <w:r w:rsidRPr="005B1896">
        <w:t>bjava javnega razpisa na področju športa ni vsebovala vseh obveznih sestavin; komisija za vsako posamezno vlogo ni ugotavljala</w:t>
      </w:r>
      <w:r>
        <w:t>,</w:t>
      </w:r>
      <w:r w:rsidRPr="005B1896">
        <w:t xml:space="preserve"> ali jo je podala upravičena oseba in ali je popolna; 3 prepoznih vlog ni zavrgla s sklepom, posledično razpoložljiva sredstva javnega razpisa na področju športa in javnega razpisa na področju kulture niso bila pravilno razdeljena; 6 športnim društvom je zagotavljala brezplačno uporabo javnih športnih objektov in površin za šport, na da bi izvedla javni razpis; iz dokumentacije javnega razpisa ni razvidno, da bi komisija za odpiranje vlog za vsako vlogo ugotovila, ali je pravočasna, ali jo je podala oseba, ki izpolnjuje v javnem razpisu določene pogoje (upravičena oseba)</w:t>
      </w:r>
      <w:r>
        <w:t>,</w:t>
      </w:r>
      <w:r w:rsidRPr="005B1896">
        <w:t xml:space="preserve"> in ali je popolna glede na besedilo javnega razpisa</w:t>
      </w:r>
      <w:r>
        <w:t>, prav tako komisija za odpiranje vlog</w:t>
      </w:r>
      <w:r w:rsidRPr="005B1896">
        <w:t xml:space="preserve"> ni pripravila skupnega poročila o ustreznih vlogah; 4 izvajalcem športnih programov, izvajalcu kulturnega programa in 9 prejemnikom na drugih področjih delovanja je na podlagi neposredne pogodbe dodelila in izplačala sredstva v skupnem znesku </w:t>
      </w:r>
      <w:r>
        <w:t>69.880 </w:t>
      </w:r>
      <w:r w:rsidRPr="005B1896">
        <w:t xml:space="preserve">EUR, ne da bi izvedla javni razpis oziroma javni poziv; </w:t>
      </w:r>
      <w:r>
        <w:rPr>
          <w:lang w:eastAsia="sl-SI"/>
        </w:rPr>
        <w:t>na</w:t>
      </w:r>
      <w:r w:rsidRPr="005B1896">
        <w:rPr>
          <w:lang w:eastAsia="sl-SI"/>
        </w:rPr>
        <w:t xml:space="preserve"> svetovni splet ni posredovala vseh dokumentov javnih razpisov na področju športa in kulture;</w:t>
      </w:r>
    </w:p>
    <w:p w14:paraId="3BB272D0" w14:textId="77777777" w:rsidR="00EB33D0" w:rsidRPr="005B1896" w:rsidRDefault="00EB33D0" w:rsidP="00EB33D0">
      <w:pPr>
        <w:pStyle w:val="RSnatevanje"/>
        <w:keepLines w:val="0"/>
        <w:numPr>
          <w:ilvl w:val="0"/>
          <w:numId w:val="29"/>
        </w:numPr>
        <w:spacing w:after="80"/>
        <w:rPr>
          <w:lang w:eastAsia="sl-SI"/>
        </w:rPr>
      </w:pPr>
      <w:r w:rsidRPr="005B1896">
        <w:t xml:space="preserve">dolgoročno se je zadolžila pri </w:t>
      </w:r>
      <w:r>
        <w:t xml:space="preserve">fizični </w:t>
      </w:r>
      <w:r w:rsidRPr="005B1896">
        <w:t>osebi, katere dejavnost ni dajanje posojil; ni v celoti izvajala nadzora nad zadolževanjem pravnih oseb javnega sektorja na ravni občine, Ministrstvu za finance ni poročala o vseh pravnih poslih, ki po vsebini p</w:t>
      </w:r>
      <w:r>
        <w:t>omenijo zadolžitev občine; od 5 </w:t>
      </w:r>
      <w:r w:rsidRPr="005B1896">
        <w:t>javnih zavodov in javnega podjetja, katerih ustanoviteljica oziroma soustanoviteljica je, ni pridobila podatkov o stanju zadolženosti na dan 31. 12. 2021 oziroma jih ni pridobila pravočasno;</w:t>
      </w:r>
    </w:p>
    <w:p w14:paraId="47EB6284" w14:textId="77777777" w:rsidR="00EB33D0" w:rsidRPr="005B1896" w:rsidRDefault="00EB33D0" w:rsidP="00EB33D0">
      <w:pPr>
        <w:pStyle w:val="RSnatevanje"/>
        <w:keepLines w:val="0"/>
        <w:numPr>
          <w:ilvl w:val="0"/>
          <w:numId w:val="29"/>
        </w:numPr>
        <w:spacing w:after="80"/>
        <w:rPr>
          <w:lang w:eastAsia="sl-SI"/>
        </w:rPr>
      </w:pPr>
      <w:r w:rsidRPr="005B1896">
        <w:t xml:space="preserve">ni sprejela odloka, s katerim bi podrobneje določila naloge krajevnih skupnosti in način izvajanja nalog, ki jih je prenesla na krajevne skupnosti; javnega naročila za upravljanje stadiona in pomožnega igrišča ni oddala po predpisanem postopku; posodila je denarna sredstva Športnemu društvu Stranice, za kar ni imela podlage v javnofinančnih predpisih; od članov komisije ni pridobila pisnih izjav o izpolnjevanju pogojev za imenovanje v komisijo; Ministrstvu za finance ni posredovala in na portalu javni naročil ni objavila aneksa št. 1 h koncesijski pogodbi; v procesu nadzora nad izvajanjem koncesijske pogodbe ni zagotovila, da bi ji koncesionar pravočasno predložil letno poročilo o izvajanju koncesije za leto 2021; za podelitev stavbne pravice za kotlovnico ni sprejela posamičnega programa ravnanja s stvarnim premoženjem; v letu 2011 je sklenila pogodbo o ustanovitvi stavbne pravice za zbirni center, čeprav zemljišča, na katerem je ustanovila stavbno pravico, ni vključila v načrt razpolaganja z nepremičnim premoženjem občine za leto 2011; pred sklenitvijo pogodbe o ustanovitvi stavbne pravice za kotlovnico ni objavila namere o ustanovitvi stavbne pravice, namere o ustanovitvi stavbne pravice za zbirni center pa na spletni strani ni objavila najmanj 15 dni pred sklenitvijo pogodbe; zemljiškoknjižno dovolilo za vpis stavbne pravice za kotlovnico v zemljiško knjigo je pridobitelju izročila pred plačilom nadomestila za stavbno pravico; </w:t>
      </w:r>
      <w:r w:rsidRPr="005B1896">
        <w:rPr>
          <w:rStyle w:val="RStekstZnak"/>
        </w:rPr>
        <w:t>ni imenovala skrbnika pravnega posla za podelitev stavbne pravice za kotlovnico oziroma ga ni določila v pogodbi.</w:t>
      </w:r>
    </w:p>
    <w:p w14:paraId="2C2F2A56" w14:textId="77777777" w:rsidR="00EB33D0" w:rsidRDefault="00EB33D0" w:rsidP="00EB33D0">
      <w:pPr>
        <w:pStyle w:val="RStekst"/>
      </w:pPr>
      <w:r w:rsidRPr="005B1896">
        <w:t xml:space="preserve">Računsko sodišče je Občini Zreče podalo </w:t>
      </w:r>
      <w:r w:rsidRPr="005B1896">
        <w:rPr>
          <w:b/>
        </w:rPr>
        <w:t>priporočila</w:t>
      </w:r>
      <w:r w:rsidRPr="005B1896">
        <w:t xml:space="preserve"> za izboljšanje poslovanja, ni pa zahtevalo predložitve odzivnega poročila, saj je občina med revizijskim postopkom, kjer je bilo mogoče, </w:t>
      </w:r>
      <w:r w:rsidRPr="005B1896">
        <w:lastRenderedPageBreak/>
        <w:t>sprejela ustrezne popravljalne ukrepe za odpravo razkritih nepravilnosti oziroma ukrepe, ki bodo zmanjšali možnost nastajanja istovrstnih nepravilnosti v prihodnje.</w:t>
      </w:r>
    </w:p>
    <w:p w14:paraId="5424E38D" w14:textId="77777777" w:rsidR="00C572B5" w:rsidRDefault="00C572B5" w:rsidP="003D1FAE">
      <w:pPr>
        <w:pStyle w:val="RStekst"/>
      </w:pPr>
    </w:p>
    <w:p w14:paraId="35897DF7" w14:textId="4E3B6E9A" w:rsidR="008629A2" w:rsidRDefault="008629A2" w:rsidP="008629A2">
      <w:pPr>
        <w:pStyle w:val="RStekst"/>
      </w:pPr>
      <w:r>
        <w:t xml:space="preserve">Ljubljana, </w:t>
      </w:r>
      <w:r w:rsidR="00EB33D0">
        <w:t>19. junija 2023</w:t>
      </w:r>
      <w:bookmarkStart w:id="0" w:name="_GoBack"/>
      <w:bookmarkEnd w:id="0"/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0A269F1D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EB33D0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1363B535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EB33D0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5FD69A9"/>
    <w:multiLevelType w:val="multilevel"/>
    <w:tmpl w:val="10A4B764"/>
    <w:lvl w:ilvl="0">
      <w:start w:val="1"/>
      <w:numFmt w:val="bullet"/>
      <w:pStyle w:val="RSnatevanj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bullet"/>
      <w:pStyle w:val="RSnatevanje2"/>
      <w:lvlText w:val="–"/>
      <w:lvlJc w:val="left"/>
      <w:pPr>
        <w:tabs>
          <w:tab w:val="num" w:pos="794"/>
        </w:tabs>
        <w:ind w:left="794" w:hanging="397"/>
      </w:pPr>
      <w:rPr>
        <w:rFonts w:ascii="Cambria" w:hAnsi="Cambria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pStyle w:val="RSnatevanje3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2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3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3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1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2"/>
  </w:num>
  <w:num w:numId="19">
    <w:abstractNumId w:val="2"/>
  </w:num>
  <w:num w:numId="20">
    <w:abstractNumId w:val="7"/>
  </w:num>
  <w:num w:numId="21">
    <w:abstractNumId w:val="3"/>
  </w:num>
  <w:num w:numId="22">
    <w:abstractNumId w:val="24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 w:numId="28">
    <w:abstractNumId w:val="21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1702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29">
    <w:abstractNumId w:val="20"/>
  </w:num>
  <w:num w:numId="30">
    <w:abstractNumId w:val="21"/>
    <w:lvlOverride w:ilvl="0">
      <w:lvl w:ilvl="0">
        <w:start w:val="1"/>
        <w:numFmt w:val="decimal"/>
        <w:lvlText w:val="%1."/>
        <w:lvlJc w:val="left"/>
        <w:pPr>
          <w:ind w:left="797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7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7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3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7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3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7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3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7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B33D0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uiPriority w:val="2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uiPriority w:val="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uiPriority w:val="1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uiPriority w:val="2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uiPriority w:val="2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uiPriority w:val="2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uiPriority w:val="2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uiPriority w:val="2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uiPriority w:val="2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uiPriority w:val="2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uiPriority w:val="2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uiPriority w:val="1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uiPriority w:val="1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uiPriority w:val="2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0" ma:contentTypeDescription="Create a new document." ma:contentTypeScope="" ma:versionID="9c1c0c954029d9c65a3c30f95878d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35be0cfd693321af83a9b73d26a9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00FFD-028A-4A29-AEB9-CF2058308C2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99395-FA36-4E1D-91EA-0DC5C14A5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2023-06-15T07:20:00Z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