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05969164" w:rsidR="008629A2" w:rsidRDefault="008629A2" w:rsidP="004769EE">
      <w:pPr>
        <w:pStyle w:val="RSGLAVNINASLOV"/>
        <w:rPr>
          <w:spacing w:val="-2"/>
        </w:rPr>
      </w:pPr>
      <w:r w:rsidRPr="009176A9">
        <w:rPr>
          <w:spacing w:val="-2"/>
        </w:rPr>
        <w:t xml:space="preserve">Povzetek revizijskega poročila </w:t>
      </w:r>
      <w:r w:rsidR="00206365">
        <w:rPr>
          <w:spacing w:val="-2"/>
        </w:rPr>
        <w:br/>
      </w:r>
      <w:r w:rsidR="000760CE" w:rsidRPr="000760CE">
        <w:rPr>
          <w:spacing w:val="-2"/>
        </w:rPr>
        <w:t>Pravilnost dela poslovanja Občine Vuzenica</w:t>
      </w:r>
    </w:p>
    <w:p w14:paraId="6F47E62D" w14:textId="77777777" w:rsidR="000760CE" w:rsidRPr="000760CE" w:rsidRDefault="000760CE" w:rsidP="000760CE">
      <w:pPr>
        <w:pStyle w:val="RStekst"/>
      </w:pPr>
      <w:r w:rsidRPr="000760CE">
        <w:t xml:space="preserve">Računsko sodišče je revidiralo pravilnost poslovanja Občine Vuzenica v letu 2021 </w:t>
      </w:r>
      <w:r w:rsidRPr="000760CE">
        <w:rPr>
          <w:b/>
        </w:rPr>
        <w:t>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 (odhodke za dodatke za delo v posebnih pogojih in odhodke za povračilo stroškov za službena potovanja župana).</w:t>
      </w:r>
      <w:r w:rsidRPr="000760CE">
        <w:t xml:space="preserve"> Cilj revizije je bil izrek mnenja o pravilnosti poslovanja Občine Vuzenica v letu 2021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 (odhodke za dodatke za delo v posebnih pogojih in odhodke za povračilo stroškov za službena potovanja župana).</w:t>
      </w:r>
    </w:p>
    <w:p w14:paraId="34563420" w14:textId="77777777" w:rsidR="000760CE" w:rsidRPr="000760CE" w:rsidRDefault="000760CE" w:rsidP="000760CE">
      <w:pPr>
        <w:pStyle w:val="RStekst"/>
      </w:pPr>
      <w:r w:rsidRPr="000760CE">
        <w:t xml:space="preserve">Računsko sodišče je o pravilnosti dela poslovanja Občine Vuzenica v letu 2021 izreklo </w:t>
      </w:r>
      <w:r w:rsidRPr="000760CE">
        <w:rPr>
          <w:b/>
        </w:rPr>
        <w:t>mnenje s pridržkom,</w:t>
      </w:r>
      <w:r w:rsidRPr="000760CE">
        <w:t xml:space="preserve"> ker občina ni poslovala v skladu s predpisi in pogodbenimi določili v naslednjih primerih:</w:t>
      </w:r>
    </w:p>
    <w:p w14:paraId="6A1A7921" w14:textId="77777777" w:rsidR="000760CE" w:rsidRPr="000760CE" w:rsidRDefault="000760CE" w:rsidP="000760CE">
      <w:pPr>
        <w:pStyle w:val="RSnatevanje"/>
        <w:rPr>
          <w:b/>
        </w:rPr>
      </w:pPr>
      <w:r w:rsidRPr="000760CE">
        <w:tab/>
      </w:r>
      <w:r w:rsidRPr="000760CE">
        <w:tab/>
        <w:t>obrazložitve proračuna občine za leto 2021, kadrovski načrt za leto 2021 in obrazložitev posebnega dela zaključnega računa proračuna občine za leto 2021 niso popolni; župan je občinskemu svetu prepozno poročal o izvrševanju proračuna v prvem polletju 2021 in v zaključnem računu proračuna občine za leto 2021 občinskemu svetu ni poročal o izvršenih prerazporeditvah, ki so bile izvedene v drugi polovici proračunskega leta 2021;</w:t>
      </w:r>
    </w:p>
    <w:p w14:paraId="14A5C819" w14:textId="77777777" w:rsidR="000760CE" w:rsidRPr="000760CE" w:rsidRDefault="000760CE" w:rsidP="000760CE">
      <w:pPr>
        <w:pStyle w:val="RSnatevanje"/>
      </w:pPr>
      <w:r w:rsidRPr="000760CE">
        <w:t>evidenca nepremičnega premoženja občine ni popolna; v prodajni pogodbi je določila rok za plačilo dela kupnine, ki je bil daljši od 30 dni od sklenitve pogodbe; ni poskrbela za popolno in pravočasno pobiranje prejemkov proračuna; v najemni pogodbi je določila in uporabniku zaračunala za 3.875 EUR prenizko uporabnino;</w:t>
      </w:r>
    </w:p>
    <w:p w14:paraId="36FA2A25" w14:textId="77777777" w:rsidR="000760CE" w:rsidRPr="000760CE" w:rsidRDefault="000760CE" w:rsidP="000760CE">
      <w:pPr>
        <w:pStyle w:val="RSnatevanje"/>
        <w:rPr>
          <w:b/>
        </w:rPr>
      </w:pPr>
      <w:r w:rsidRPr="000760CE">
        <w:t>v razpisni dokumentaciji je za javno naročilo navedla določilo, ki ni v skladu z načelom zagotavljanja konkurence med ponudniki; gradbene pogodbe in aneksa št. 1 ni objavila v 48 dneh od oddaje javnega naročila na spletni strani, namenjeni izvajanju elektronskega javnega naročanja; bančno garancijo za dobro izvedbo pogodbenih obveznosti z novim rokom za izvedbo del je pridobila prepozno; od izvajalca je pridobila bančno garancijo za odpravo napak v garancijskem roku v prenizkem znesku; s sklenitvijo pogodbe je prevzela za 5.533 EUR več obveznosti, kot je imela za ta namen načrtovanih sredstev v proračunu občine za leto 2021 ob prevzemu obveznosti;</w:t>
      </w:r>
    </w:p>
    <w:p w14:paraId="362F96B9" w14:textId="77777777" w:rsidR="000760CE" w:rsidRPr="000760CE" w:rsidRDefault="000760CE" w:rsidP="000760CE">
      <w:pPr>
        <w:pStyle w:val="RSnatevanje"/>
      </w:pPr>
      <w:r w:rsidRPr="000760CE">
        <w:lastRenderedPageBreak/>
        <w:t>ni sprejela sklepa o začetku postopka javnega razpisa na področju športa in na področju kulture; predsednik in člani komisije po javnem razpisu na področju športa niso podpisali izjave o prepovedi interesne povezanosti; javnega razpisa na področju športa ni objavila v uradnem glasilu lokalne skupnosti; objava javnega razpisa na področju športa ni vsebovala vseh obveznih sestavin; komisija pri javnem razpisu na področju športa za vsako posamezno vlogo ni ugotavljala, ali je pravočasna, ali jo je vložila upravičena oseba in ali je popolna; ni imela sprejetega lokalnega programa za kulturo za obdobje 4 let; iz dokumentacije javnega razpisa na področju kulture ni razvidno, da bi odbor za šolstvo, otroško varstvo, socialo, kulturo za vsako vlogo ugotovil, ali je pravočasna, ali jo je podala oseba, ki izpolnjuje v javnem razpisu določene pogoje (upravičena oseba), in ali je popolna glede na besedilo javnega razpisa; poleg tega odbor za šolstvo, otroško varstvo, socialo, kulturo ni pripravil skupnega poročila o ustreznih vlogah; na svetovni splet ni posredovala vseh dokumentov javnih razpisov na področju športa in kulture;</w:t>
      </w:r>
    </w:p>
    <w:p w14:paraId="5AB60368" w14:textId="77777777" w:rsidR="000760CE" w:rsidRPr="000760CE" w:rsidRDefault="000760CE" w:rsidP="000760CE">
      <w:pPr>
        <w:pStyle w:val="RSnatevanje"/>
      </w:pPr>
      <w:r w:rsidRPr="000760CE">
        <w:t>Prostovoljnemu gasilskemu društvu Vuzenica in Osnovni šoli Vuzenica je zagotovila sredstva za odplačilo obveznosti iz kreditne pogodbe in iz pogodbe o finančnem leasingu (v letu 2021 v skupnem znesku 25.062 EUR), kar pomeni, da gre za zadolžitev občine, ne da bi občina pridobila soglasje Ministrstva za finance; občinski svet je izdal soglasje za zadolžitev Osnovne šole Vuzenica, ne da bi občina predhodno preverila oziroma ni pridobila izjave, da ima javni zavod zagotovljena sredstva za servisiranje dolga iz neproračunskih virov; v odloku o proračunu občine za leto 2021 ni določila obsega zadolževanja pravnih oseb javnega sektorja na ravni občine; prevzela je obveznosti Osnovne šole Vuzenica za poplačilo obveznosti iz pogodbe o finančnem leasingu (izplačilo v letu 2021 v znesku 5.616 EUR), ne da bi z Osnovno šolo Vuzenica sklenila pogodbo o zagotavljanju sredstev za poplačilo obveznosti; posodila je denarna sredstva Javnemu komunalnemu podjetju Radlje ob Dravi d.o.o., za kar ni imela podlage v javnofinančnih predpisih; od javnega zavoda, katerega ustanoviteljica je, podatkov o stanju zadolženosti na dan 31. 12. 2021 ni pridobila pravočasno.</w:t>
      </w:r>
    </w:p>
    <w:p w14:paraId="13D7BFA1" w14:textId="13ADA292" w:rsidR="00422A14" w:rsidRPr="0003786E" w:rsidRDefault="000760CE" w:rsidP="000760CE">
      <w:pPr>
        <w:pStyle w:val="RStekst"/>
      </w:pPr>
      <w:r w:rsidRPr="000760CE">
        <w:t xml:space="preserve">Računsko sodišče je Občini Vuzenica podalo </w:t>
      </w:r>
      <w:r w:rsidRPr="000760CE">
        <w:rPr>
          <w:b/>
        </w:rPr>
        <w:t>priporočila</w:t>
      </w:r>
      <w:r w:rsidRPr="000760CE">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5A3ED87D" w14:textId="77777777" w:rsidR="000760CE" w:rsidRDefault="000760CE" w:rsidP="008629A2">
      <w:pPr>
        <w:pStyle w:val="RStekst"/>
      </w:pPr>
    </w:p>
    <w:p w14:paraId="35897DF7" w14:textId="33627317" w:rsidR="008629A2" w:rsidRDefault="008629A2" w:rsidP="008629A2">
      <w:pPr>
        <w:pStyle w:val="RStekst"/>
      </w:pPr>
      <w:r>
        <w:t xml:space="preserve">Ljubljana, </w:t>
      </w:r>
      <w:r w:rsidR="002F237E">
        <w:t>2</w:t>
      </w:r>
      <w:r w:rsidR="002C6BDC">
        <w:t>4</w:t>
      </w:r>
      <w:bookmarkStart w:id="0" w:name="_GoBack"/>
      <w:bookmarkEnd w:id="0"/>
      <w:r w:rsidR="004F6CFB">
        <w:t>.</w:t>
      </w:r>
      <w:r w:rsidR="00206365" w:rsidRPr="00206365">
        <w:t xml:space="preserve"> </w:t>
      </w:r>
      <w:r w:rsidR="000760CE">
        <w:t>marca</w:t>
      </w:r>
      <w:r w:rsidR="00206365" w:rsidRPr="00206365">
        <w:t xml:space="preserve"> 202</w:t>
      </w:r>
      <w:r w:rsidR="000760CE">
        <w:t>3</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0E1C9A5A"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2C6BDC">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E5A97A4"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C6BDC">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C3BA9" w14:textId="77777777" w:rsidR="00B22F32" w:rsidRDefault="00B22F3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71B01" w14:textId="4848855D" w:rsidR="00EA4DD2" w:rsidRPr="00D92D47" w:rsidRDefault="00EA4DD2" w:rsidP="00B22F3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2807"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851"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29">
    <w:abstractNumId w:val="12"/>
  </w:num>
  <w:num w:numId="30">
    <w:abstractNumId w:val="12"/>
  </w:num>
  <w:num w:numId="3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3786E"/>
    <w:rsid w:val="000562C9"/>
    <w:rsid w:val="000602E8"/>
    <w:rsid w:val="000760CE"/>
    <w:rsid w:val="0007764A"/>
    <w:rsid w:val="00082FFA"/>
    <w:rsid w:val="00097B14"/>
    <w:rsid w:val="000A0B85"/>
    <w:rsid w:val="000A4363"/>
    <w:rsid w:val="000A6991"/>
    <w:rsid w:val="000A727E"/>
    <w:rsid w:val="000B44B9"/>
    <w:rsid w:val="000C74FD"/>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A6BE6"/>
    <w:rsid w:val="001C4778"/>
    <w:rsid w:val="001D390E"/>
    <w:rsid w:val="001D3BBB"/>
    <w:rsid w:val="001E48F2"/>
    <w:rsid w:val="001F5F42"/>
    <w:rsid w:val="0020533C"/>
    <w:rsid w:val="00205C91"/>
    <w:rsid w:val="00206365"/>
    <w:rsid w:val="00210B2F"/>
    <w:rsid w:val="0022503D"/>
    <w:rsid w:val="00225884"/>
    <w:rsid w:val="00233281"/>
    <w:rsid w:val="00253177"/>
    <w:rsid w:val="0025536D"/>
    <w:rsid w:val="00262B17"/>
    <w:rsid w:val="00282257"/>
    <w:rsid w:val="00286199"/>
    <w:rsid w:val="00292FDA"/>
    <w:rsid w:val="00296674"/>
    <w:rsid w:val="002A7C18"/>
    <w:rsid w:val="002B71D2"/>
    <w:rsid w:val="002C6BDC"/>
    <w:rsid w:val="002E4EF1"/>
    <w:rsid w:val="002F0F45"/>
    <w:rsid w:val="002F237E"/>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2A14"/>
    <w:rsid w:val="00424F82"/>
    <w:rsid w:val="00435EF2"/>
    <w:rsid w:val="00440534"/>
    <w:rsid w:val="00446E0B"/>
    <w:rsid w:val="00466210"/>
    <w:rsid w:val="004769EE"/>
    <w:rsid w:val="00491CBF"/>
    <w:rsid w:val="00493842"/>
    <w:rsid w:val="004A2240"/>
    <w:rsid w:val="004A4705"/>
    <w:rsid w:val="004A7BD7"/>
    <w:rsid w:val="004C746E"/>
    <w:rsid w:val="004D0FC4"/>
    <w:rsid w:val="004D11D6"/>
    <w:rsid w:val="004D4920"/>
    <w:rsid w:val="004F25DF"/>
    <w:rsid w:val="004F4530"/>
    <w:rsid w:val="004F5411"/>
    <w:rsid w:val="004F6CFB"/>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063F"/>
    <w:rsid w:val="008743AA"/>
    <w:rsid w:val="008759C3"/>
    <w:rsid w:val="00882D1D"/>
    <w:rsid w:val="0088333D"/>
    <w:rsid w:val="00890B44"/>
    <w:rsid w:val="008A7957"/>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0A5D"/>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22F32"/>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D7D9E"/>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4020"/>
    <w:rsid w:val="00E559C4"/>
    <w:rsid w:val="00E66712"/>
    <w:rsid w:val="00E73713"/>
    <w:rsid w:val="00E749F9"/>
    <w:rsid w:val="00E95B60"/>
    <w:rsid w:val="00EA4DD2"/>
    <w:rsid w:val="00EA6EA5"/>
    <w:rsid w:val="00ED4724"/>
    <w:rsid w:val="00EF47A6"/>
    <w:rsid w:val="00F1219B"/>
    <w:rsid w:val="00F21C31"/>
    <w:rsid w:val="00F22FFD"/>
    <w:rsid w:val="00F310CF"/>
    <w:rsid w:val="00F41705"/>
    <w:rsid w:val="00F43BBE"/>
    <w:rsid w:val="00F50377"/>
    <w:rsid w:val="00F51F0D"/>
    <w:rsid w:val="00F6071C"/>
    <w:rsid w:val="00F61A94"/>
    <w:rsid w:val="00F62025"/>
    <w:rsid w:val="00F671C7"/>
    <w:rsid w:val="00F75A97"/>
    <w:rsid w:val="00F818AD"/>
    <w:rsid w:val="00F85E3E"/>
    <w:rsid w:val="00F87A17"/>
    <w:rsid w:val="00F87DE9"/>
    <w:rsid w:val="00FA78CF"/>
    <w:rsid w:val="00FC3FB4"/>
    <w:rsid w:val="00FE0558"/>
    <w:rsid w:val="00FE793B"/>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character" w:customStyle="1" w:styleId="RSpodnaslov4Znak">
    <w:name w:val="RS podnaslov 4 Znak"/>
    <w:rsid w:val="008A7957"/>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0" ma:contentTypeDescription="Create a new document." ma:contentTypeScope="" ma:versionID="9c1c0c954029d9c65a3c30f95878d3fa">
  <xsd:schema xmlns:xsd="http://www.w3.org/2001/XMLSchema" xmlns:xs="http://www.w3.org/2001/XMLSchema" xmlns:p="http://schemas.microsoft.com/office/2006/metadata/properties" targetNamespace="http://schemas.microsoft.com/office/2006/metadata/properties" ma:root="true" ma:fieldsID="ac35be0cfd693321af83a9b73d26a9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9CF7F-934D-44E5-B402-A3691F0B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4683</Characters>
  <Application>Microsoft Office Word</Application>
  <DocSecurity>0</DocSecurity>
  <Lines>39</Lines>
  <Paragraphs>10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2023-03-22T12:54:00Z</dcterms:created>
  <dcterms:modified xsi:type="dcterms:W3CDTF">2023-03-22T14:48:00Z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