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29D3DB61" w:rsidR="008629A2" w:rsidRPr="00F4569E" w:rsidRDefault="008629A2" w:rsidP="008629A2">
      <w:pPr>
        <w:pStyle w:val="RSGLAVNINASLOV"/>
        <w:rPr>
          <w:spacing w:val="-2"/>
        </w:rPr>
      </w:pPr>
      <w:r w:rsidRPr="009176A9">
        <w:rPr>
          <w:spacing w:val="-2"/>
        </w:rPr>
        <w:t>Povzetek revizijskega poročila</w:t>
      </w:r>
      <w:r w:rsidR="00AC351F">
        <w:rPr>
          <w:spacing w:val="-2"/>
        </w:rPr>
        <w:br/>
      </w:r>
      <w:r w:rsidR="00AC351F" w:rsidRPr="00AC351F">
        <w:rPr>
          <w:spacing w:val="-2"/>
        </w:rPr>
        <w:t>Pravilnost dela poslovanja Občine Štore</w:t>
      </w:r>
      <w:r w:rsidRPr="009176A9">
        <w:rPr>
          <w:spacing w:val="-2"/>
        </w:rPr>
        <w:t xml:space="preserve"> </w:t>
      </w:r>
    </w:p>
    <w:p w14:paraId="1E78308A" w14:textId="77777777" w:rsidR="00AC351F" w:rsidRPr="00E9679A" w:rsidRDefault="00AC351F" w:rsidP="00AC351F">
      <w:pPr>
        <w:widowControl/>
        <w:adjustRightInd w:val="0"/>
        <w:snapToGrid w:val="0"/>
        <w:spacing w:before="240" w:after="240" w:line="280" w:lineRule="exact"/>
        <w:contextualSpacing w:val="0"/>
        <w:jc w:val="both"/>
        <w:rPr>
          <w:rFonts w:asciiTheme="minorHAnsi" w:hAnsiTheme="minorHAnsi"/>
          <w:bCs/>
          <w:sz w:val="20"/>
        </w:rPr>
      </w:pPr>
      <w:r w:rsidRPr="00E9679A">
        <w:rPr>
          <w:rFonts w:asciiTheme="minorHAnsi" w:hAnsiTheme="minorHAnsi"/>
          <w:bCs/>
          <w:sz w:val="20"/>
        </w:rPr>
        <w:t>Računsko sodišče je revidiralo pra</w:t>
      </w:r>
      <w:r>
        <w:rPr>
          <w:rFonts w:asciiTheme="minorHAnsi" w:hAnsiTheme="minorHAnsi"/>
          <w:bCs/>
          <w:sz w:val="20"/>
        </w:rPr>
        <w:t>vilnost poslovanja Občine Štore</w:t>
      </w:r>
      <w:r w:rsidRPr="00E9679A">
        <w:rPr>
          <w:rFonts w:asciiTheme="minorHAnsi" w:hAnsiTheme="minorHAnsi"/>
          <w:bCs/>
          <w:sz w:val="20"/>
        </w:rPr>
        <w:t xml:space="preserve"> v letu 2021 </w:t>
      </w:r>
      <w:r w:rsidRPr="00E9679A">
        <w:rPr>
          <w:rFonts w:asciiTheme="minorHAnsi" w:hAnsiTheme="minorHAnsi"/>
          <w:b/>
          <w:bCs/>
          <w:sz w:val="20"/>
        </w:rPr>
        <w:t>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 (</w:t>
      </w:r>
      <w:r>
        <w:rPr>
          <w:rFonts w:asciiTheme="minorHAnsi" w:hAnsiTheme="minorHAnsi"/>
          <w:b/>
          <w:sz w:val="20"/>
        </w:rPr>
        <w:t>imenovanje tajnika občine</w:t>
      </w:r>
      <w:r w:rsidRPr="00E9679A">
        <w:rPr>
          <w:rFonts w:asciiTheme="minorHAnsi" w:hAnsiTheme="minorHAnsi"/>
          <w:b/>
          <w:bCs/>
          <w:sz w:val="20"/>
        </w:rPr>
        <w:t xml:space="preserve">). </w:t>
      </w:r>
      <w:r w:rsidRPr="00E9679A">
        <w:rPr>
          <w:rFonts w:asciiTheme="minorHAnsi" w:hAnsiTheme="minorHAnsi"/>
          <w:bCs/>
          <w:sz w:val="20"/>
        </w:rPr>
        <w:t>Cilj revizije je bil izrek mnenja o prav</w:t>
      </w:r>
      <w:r>
        <w:rPr>
          <w:rFonts w:asciiTheme="minorHAnsi" w:hAnsiTheme="minorHAnsi"/>
          <w:bCs/>
          <w:sz w:val="20"/>
        </w:rPr>
        <w:t>ilnosti poslovanja Občine Štore</w:t>
      </w:r>
      <w:r w:rsidRPr="00E9679A">
        <w:rPr>
          <w:rFonts w:asciiTheme="minorHAnsi" w:hAnsiTheme="minorHAnsi"/>
          <w:bCs/>
          <w:sz w:val="20"/>
        </w:rPr>
        <w:t xml:space="preserve"> v letu 2021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 (imenovan</w:t>
      </w:r>
      <w:r>
        <w:rPr>
          <w:rFonts w:asciiTheme="minorHAnsi" w:hAnsiTheme="minorHAnsi"/>
          <w:bCs/>
          <w:sz w:val="20"/>
        </w:rPr>
        <w:t>je tajnika občine</w:t>
      </w:r>
      <w:r w:rsidRPr="00E9679A">
        <w:rPr>
          <w:rFonts w:asciiTheme="minorHAnsi" w:hAnsiTheme="minorHAnsi"/>
          <w:bCs/>
          <w:sz w:val="20"/>
        </w:rPr>
        <w:t>).</w:t>
      </w:r>
    </w:p>
    <w:p w14:paraId="03EAD25D" w14:textId="77777777" w:rsidR="00AC351F" w:rsidRPr="00E9679A" w:rsidRDefault="00AC351F" w:rsidP="00AC351F">
      <w:pPr>
        <w:widowControl/>
        <w:adjustRightInd w:val="0"/>
        <w:snapToGrid w:val="0"/>
        <w:spacing w:before="240" w:after="240" w:line="280" w:lineRule="exact"/>
        <w:contextualSpacing w:val="0"/>
        <w:jc w:val="both"/>
        <w:rPr>
          <w:rFonts w:asciiTheme="minorHAnsi" w:hAnsiTheme="minorHAnsi"/>
          <w:bCs/>
          <w:sz w:val="20"/>
        </w:rPr>
      </w:pPr>
      <w:r w:rsidRPr="00E9679A">
        <w:rPr>
          <w:rFonts w:asciiTheme="minorHAnsi" w:hAnsiTheme="minorHAnsi"/>
          <w:bCs/>
          <w:sz w:val="20"/>
        </w:rPr>
        <w:t>Računsko sodišče je o pravilnos</w:t>
      </w:r>
      <w:r>
        <w:rPr>
          <w:rFonts w:asciiTheme="minorHAnsi" w:hAnsiTheme="minorHAnsi"/>
          <w:bCs/>
          <w:sz w:val="20"/>
        </w:rPr>
        <w:t>ti dela poslovanja Občine Štore</w:t>
      </w:r>
      <w:r w:rsidRPr="00E9679A">
        <w:rPr>
          <w:rFonts w:asciiTheme="minorHAnsi" w:hAnsiTheme="minorHAnsi"/>
          <w:bCs/>
          <w:sz w:val="20"/>
        </w:rPr>
        <w:t xml:space="preserve"> v letu 2021 izreklo </w:t>
      </w:r>
      <w:r w:rsidRPr="00AC351F">
        <w:rPr>
          <w:rStyle w:val="RStekstBoldbarva"/>
          <w:color w:val="auto"/>
        </w:rPr>
        <w:t>negativno mnenje,</w:t>
      </w:r>
      <w:r w:rsidRPr="00AC351F">
        <w:rPr>
          <w:rFonts w:asciiTheme="minorHAnsi" w:hAnsiTheme="minorHAnsi"/>
          <w:bCs/>
          <w:sz w:val="20"/>
        </w:rPr>
        <w:t xml:space="preserve"> </w:t>
      </w:r>
      <w:r w:rsidRPr="00E9679A">
        <w:rPr>
          <w:rFonts w:asciiTheme="minorHAnsi" w:hAnsiTheme="minorHAnsi"/>
          <w:bCs/>
          <w:sz w:val="20"/>
        </w:rPr>
        <w:t>ker občina ni p</w:t>
      </w:r>
      <w:r>
        <w:rPr>
          <w:rFonts w:asciiTheme="minorHAnsi" w:hAnsiTheme="minorHAnsi"/>
          <w:bCs/>
          <w:sz w:val="20"/>
        </w:rPr>
        <w:t xml:space="preserve">oslovala v skladu s predpisi, </w:t>
      </w:r>
      <w:r w:rsidRPr="00E9679A">
        <w:rPr>
          <w:rFonts w:asciiTheme="minorHAnsi" w:hAnsiTheme="minorHAnsi"/>
          <w:bCs/>
          <w:sz w:val="20"/>
        </w:rPr>
        <w:t>pogodbenimi določili</w:t>
      </w:r>
      <w:r>
        <w:rPr>
          <w:lang w:eastAsia="sl-SI"/>
        </w:rPr>
        <w:t xml:space="preserve">, </w:t>
      </w:r>
      <w:r w:rsidRPr="00790E08">
        <w:rPr>
          <w:rFonts w:asciiTheme="minorHAnsi" w:hAnsiTheme="minorHAnsi"/>
          <w:bCs/>
          <w:sz w:val="20"/>
        </w:rPr>
        <w:t>določili okvirnega sporazuma ter razpisne dokumentacije v naslednjih</w:t>
      </w:r>
      <w:r w:rsidRPr="00E9679A">
        <w:rPr>
          <w:rFonts w:asciiTheme="minorHAnsi" w:hAnsiTheme="minorHAnsi"/>
          <w:bCs/>
          <w:sz w:val="20"/>
        </w:rPr>
        <w:t xml:space="preserve"> primerih:</w:t>
      </w:r>
    </w:p>
    <w:p w14:paraId="6294DE0C" w14:textId="77777777" w:rsidR="00AC351F" w:rsidRDefault="00AC351F" w:rsidP="00AC351F">
      <w:pPr>
        <w:pStyle w:val="RSnatevanje"/>
        <w:keepLines w:val="0"/>
        <w:numPr>
          <w:ilvl w:val="0"/>
          <w:numId w:val="28"/>
        </w:numPr>
        <w:spacing w:after="80"/>
      </w:pPr>
      <w:r>
        <w:t xml:space="preserve">obrazložitve proračuna občine za leto 2021, </w:t>
      </w:r>
      <w:r w:rsidRPr="00E9679A">
        <w:t>poročilo o realizaciji proračuna</w:t>
      </w:r>
      <w:r>
        <w:t xml:space="preserve"> občine</w:t>
      </w:r>
      <w:r w:rsidRPr="00E9679A">
        <w:t xml:space="preserve"> v prvem polletju 2021 in </w:t>
      </w:r>
      <w:r w:rsidRPr="00DD2BC2">
        <w:rPr>
          <w:rStyle w:val="RStekstZnak"/>
          <w:lang w:eastAsia="sl-SI"/>
        </w:rPr>
        <w:t>poročilo o doseženih ciljih in rezultatih za leto 2021</w:t>
      </w:r>
      <w:r w:rsidRPr="00E9679A">
        <w:t xml:space="preserve"> niso popoln</w:t>
      </w:r>
      <w:r>
        <w:t xml:space="preserve">i; </w:t>
      </w:r>
      <w:r w:rsidRPr="00DD2BC2">
        <w:t>v splošnem in posebnem delu zaključnega računa proračuna občine za leto 2021 ni prikazala</w:t>
      </w:r>
      <w:r>
        <w:t xml:space="preserve"> veljavnega proračuna za leto 2021 in</w:t>
      </w:r>
      <w:r w:rsidRPr="00DD2BC2">
        <w:t xml:space="preserve"> </w:t>
      </w:r>
      <w:r>
        <w:t>indeksa med realiziranim in veljavnim</w:t>
      </w:r>
      <w:r w:rsidRPr="00DD2BC2">
        <w:t xml:space="preserve"> proračunom za leto 2021</w:t>
      </w:r>
      <w:r>
        <w:t xml:space="preserve">; </w:t>
      </w:r>
      <w:r w:rsidRPr="00DD2BC2">
        <w:t xml:space="preserve">v </w:t>
      </w:r>
      <w:r w:rsidRPr="00DD2BC2">
        <w:rPr>
          <w:rStyle w:val="RStekstZnak"/>
        </w:rPr>
        <w:t>okviru obrazložitev posebnega dela zaključnega račun</w:t>
      </w:r>
      <w:r>
        <w:rPr>
          <w:rStyle w:val="RStekstZnak"/>
        </w:rPr>
        <w:t xml:space="preserve">a proračuna občine za leto 2021 </w:t>
      </w:r>
      <w:r w:rsidRPr="00DD2BC2">
        <w:rPr>
          <w:rStyle w:val="RStekstZnak"/>
        </w:rPr>
        <w:t>ni pripravila poročila o realizaciji finančnih načrtov neposrednih uporabnikov</w:t>
      </w:r>
      <w:r>
        <w:rPr>
          <w:rStyle w:val="RStekstZnak"/>
        </w:rPr>
        <w:t xml:space="preserve">; </w:t>
      </w:r>
      <w:r w:rsidRPr="00DD2BC2">
        <w:t xml:space="preserve">ni </w:t>
      </w:r>
      <w:r w:rsidRPr="00DC3AC6">
        <w:t>zagotovi</w:t>
      </w:r>
      <w:r>
        <w:t>la</w:t>
      </w:r>
      <w:r w:rsidRPr="00DC3AC6">
        <w:t xml:space="preserve"> evidentiranj</w:t>
      </w:r>
      <w:r>
        <w:t xml:space="preserve">a </w:t>
      </w:r>
      <w:r w:rsidRPr="00DC3AC6">
        <w:t xml:space="preserve">predobremenitev proračuna oziroma </w:t>
      </w:r>
      <w:r>
        <w:t xml:space="preserve">ni </w:t>
      </w:r>
      <w:r w:rsidRPr="00DC3AC6">
        <w:t>vzpostavi</w:t>
      </w:r>
      <w:r>
        <w:t xml:space="preserve">la evidence </w:t>
      </w:r>
      <w:r w:rsidRPr="00DD2BC2">
        <w:t>prevzetih obveznosti v breme proračunov prihodnjih let</w:t>
      </w:r>
      <w:r>
        <w:t xml:space="preserve">; </w:t>
      </w:r>
      <w:r w:rsidRPr="00DD2BC2">
        <w:t>pri plačilu obveznosti iz proračuna ni upoštevala zakonskih plačilnih rokov</w:t>
      </w:r>
      <w:r>
        <w:t>;</w:t>
      </w:r>
    </w:p>
    <w:p w14:paraId="04176F45" w14:textId="77777777" w:rsidR="00AC351F" w:rsidRDefault="00AC351F" w:rsidP="00AC351F">
      <w:pPr>
        <w:pStyle w:val="RSnatevanje"/>
        <w:keepLines w:val="0"/>
        <w:numPr>
          <w:ilvl w:val="0"/>
          <w:numId w:val="28"/>
        </w:numPr>
        <w:spacing w:after="80"/>
      </w:pPr>
      <w:r>
        <w:rPr>
          <w:lang w:eastAsia="sl-SI"/>
        </w:rPr>
        <w:t>načrt razpolaganja s stavbami in deli stavb za leto 2021 ter zapisnik o odpiranju ponudb nista popolna;</w:t>
      </w:r>
      <w:r w:rsidRPr="001D6F8F">
        <w:rPr>
          <w:lang w:eastAsia="sl-SI"/>
        </w:rPr>
        <w:t xml:space="preserve"> </w:t>
      </w:r>
      <w:r w:rsidRPr="00DA4B85">
        <w:rPr>
          <w:lang w:eastAsia="sl-SI"/>
        </w:rPr>
        <w:t xml:space="preserve">po opravljeni izbiri je prepozno sklenila </w:t>
      </w:r>
      <w:r>
        <w:rPr>
          <w:lang w:eastAsia="sl-SI"/>
        </w:rPr>
        <w:t>najemno</w:t>
      </w:r>
      <w:r w:rsidRPr="00DA4B85">
        <w:rPr>
          <w:lang w:eastAsia="sl-SI"/>
        </w:rPr>
        <w:t xml:space="preserve"> pogodbo z najugodnejšim ponudnikom</w:t>
      </w:r>
      <w:r>
        <w:rPr>
          <w:lang w:eastAsia="sl-SI"/>
        </w:rPr>
        <w:t xml:space="preserve">; </w:t>
      </w:r>
      <w:r>
        <w:t>pri oddaji stvarnega premoženja v najem,</w:t>
      </w:r>
      <w:r w:rsidRPr="00DD2BC2">
        <w:t xml:space="preserve"> </w:t>
      </w:r>
      <w:r>
        <w:t>prodaji nepremičnega premoženja in</w:t>
      </w:r>
      <w:r w:rsidRPr="00DE3434">
        <w:t xml:space="preserve"> </w:t>
      </w:r>
      <w:r w:rsidRPr="00583C26">
        <w:t>oddaj</w:t>
      </w:r>
      <w:r>
        <w:t>i</w:t>
      </w:r>
      <w:r w:rsidRPr="00583C26">
        <w:t xml:space="preserve"> stvarnega premoženja v občasno uporabo</w:t>
      </w:r>
      <w:r w:rsidRPr="00DD2BC2">
        <w:t xml:space="preserve"> ni imenovala skrbnika pravnega posla oziroma ga ni določila v pogodbi</w:t>
      </w:r>
      <w:r>
        <w:t xml:space="preserve">; </w:t>
      </w:r>
      <w:r w:rsidRPr="00DA4B85">
        <w:rPr>
          <w:lang w:eastAsia="sl-SI"/>
        </w:rPr>
        <w:t xml:space="preserve">po opravljeni izbiri je prepozno sklenila </w:t>
      </w:r>
      <w:r>
        <w:rPr>
          <w:lang w:eastAsia="sl-SI"/>
        </w:rPr>
        <w:t>prodajn</w:t>
      </w:r>
      <w:r w:rsidRPr="00DA4B85">
        <w:rPr>
          <w:lang w:eastAsia="sl-SI"/>
        </w:rPr>
        <w:t>o pogodbo z najugodnejšim ponudnikom</w:t>
      </w:r>
      <w:r>
        <w:rPr>
          <w:lang w:eastAsia="sl-SI"/>
        </w:rPr>
        <w:t>;</w:t>
      </w:r>
      <w:r>
        <w:t xml:space="preserve"> dogovorila se je za rok plačila preostalega dela kupnine, ki je bil daljši od 30 dni od sklenitve pogodbe; pri oddaji prostorov za mesečno najemnino, ki ne odraža realne vrednosti višine najemnine, ni spoštovala načela gospodarnosti; </w:t>
      </w:r>
      <w:r w:rsidRPr="00DD2BC2">
        <w:t>v 1 primeru oddaje prostorov v najem ni pripravila posamičnega programa upravljanja</w:t>
      </w:r>
      <w:r>
        <w:t xml:space="preserve">; v najemni pogodbi </w:t>
      </w:r>
      <w:r w:rsidRPr="00B56914">
        <w:t xml:space="preserve">ni določila obveznosti </w:t>
      </w:r>
      <w:r>
        <w:t xml:space="preserve">najemnika, da nosi stroške uporabe stavbnega zemljišča; </w:t>
      </w:r>
      <w:r>
        <w:rPr>
          <w:lang w:eastAsia="sl-SI"/>
        </w:rPr>
        <w:t xml:space="preserve">najemnine ni letno usklajevala z indeksom rasti cen življenjskih potrebščin; ni izkazala, da bi prihodke od najemnin, </w:t>
      </w:r>
      <w:r>
        <w:rPr>
          <w:lang w:eastAsia="sl-SI"/>
        </w:rPr>
        <w:lastRenderedPageBreak/>
        <w:t>ki jih je pobotala z odhodki za gostinske storitve, namenila za nakup, gradnjo in vzdrževanje stvarnega premoženja občine;</w:t>
      </w:r>
    </w:p>
    <w:p w14:paraId="121455AE" w14:textId="77777777" w:rsidR="00AC351F" w:rsidRDefault="00AC351F" w:rsidP="00AC351F">
      <w:pPr>
        <w:pStyle w:val="RSnatevanje"/>
        <w:keepLines w:val="0"/>
        <w:numPr>
          <w:ilvl w:val="0"/>
          <w:numId w:val="28"/>
        </w:numPr>
        <w:spacing w:after="80"/>
      </w:pPr>
      <w:r w:rsidRPr="00502FAB">
        <w:t>z izdajo 2 naročilnic ter s sklenitvijo 1 pogodbe je</w:t>
      </w:r>
      <w:r>
        <w:t xml:space="preserve"> prevzela več obveznosti</w:t>
      </w:r>
      <w:r w:rsidRPr="00502FAB">
        <w:t>, kot je imela za ta namen zagotovljenih sredstev v proračunu občine ob prevzemu obveznosti</w:t>
      </w:r>
      <w:r>
        <w:t xml:space="preserve">; </w:t>
      </w:r>
      <w:r w:rsidRPr="00502FAB">
        <w:rPr>
          <w:lang w:eastAsia="sl-SI"/>
        </w:rPr>
        <w:t>pred uvrstitvijo 2</w:t>
      </w:r>
      <w:r>
        <w:rPr>
          <w:lang w:eastAsia="sl-SI"/>
        </w:rPr>
        <w:t> </w:t>
      </w:r>
      <w:r w:rsidRPr="00502FAB">
        <w:rPr>
          <w:lang w:eastAsia="sl-SI"/>
        </w:rPr>
        <w:t>projektov v načrt razvojnih programov ni pripravila dokumenta identifikacije investicijskega projekta oziroma poenostavljene investicijske dokumentacije</w:t>
      </w:r>
      <w:r>
        <w:rPr>
          <w:lang w:eastAsia="sl-SI"/>
        </w:rPr>
        <w:t xml:space="preserve">; </w:t>
      </w:r>
      <w:r w:rsidRPr="00502FAB">
        <w:t>v 1 primeru na podlagi okvirnega sporazuma naročila ni oddala v skladu s pravili, ki jih določa Zakon o javnem naročanju v povezavi z okvirn</w:t>
      </w:r>
      <w:r>
        <w:t>im sporazumom,</w:t>
      </w:r>
      <w:r w:rsidRPr="00AF2859">
        <w:t xml:space="preserve"> </w:t>
      </w:r>
      <w:r>
        <w:t>z izbranim ponudnikom ni sklenila gradbene pogodbe ter od ponudnika</w:t>
      </w:r>
      <w:r w:rsidRPr="00502FAB">
        <w:t xml:space="preserve"> ni zahtevala </w:t>
      </w:r>
      <w:r>
        <w:t>finančnega zavarovanja</w:t>
      </w:r>
      <w:r w:rsidRPr="00502FAB">
        <w:t xml:space="preserve"> za dobro izvedbo pogodbenih obveznosti in garancije za odpravo napak</w:t>
      </w:r>
      <w:r>
        <w:t xml:space="preserve">; </w:t>
      </w:r>
      <w:r w:rsidRPr="00502FAB">
        <w:t xml:space="preserve">pred izdajo 2 naročilnic in pred sklenitvijo 1 pogodbe </w:t>
      </w:r>
      <w:r w:rsidRPr="00502FAB">
        <w:rPr>
          <w:lang w:eastAsia="sl-SI"/>
        </w:rPr>
        <w:t>ni pridobila izjave oziroma podatkov o udeležbi fizičnih in pravnih oseb v lastništvu ponudnika</w:t>
      </w:r>
      <w:r>
        <w:rPr>
          <w:lang w:eastAsia="sl-SI"/>
        </w:rPr>
        <w:t xml:space="preserve">; </w:t>
      </w:r>
      <w:r w:rsidRPr="00502FAB">
        <w:t>pri plačilu obveznosti iz proračuna ni upoštevala zakonskega plačilnega roka</w:t>
      </w:r>
      <w:r>
        <w:t xml:space="preserve">; </w:t>
      </w:r>
      <w:r w:rsidRPr="00502FAB">
        <w:rPr>
          <w:lang w:eastAsia="sl-SI"/>
        </w:rPr>
        <w:t>v 2 primerih dokument identifikacije investicijskega projekta ne vsebuje vseh predpisanih sestavin</w:t>
      </w:r>
      <w:r>
        <w:rPr>
          <w:lang w:eastAsia="sl-SI"/>
        </w:rPr>
        <w:t xml:space="preserve">; </w:t>
      </w:r>
      <w:r w:rsidRPr="00502FAB">
        <w:rPr>
          <w:rStyle w:val="RStekstZnak"/>
        </w:rPr>
        <w:t>gradbene pogodbe in aneksov ni objavila v 48 dneh od oddaje javnega</w:t>
      </w:r>
      <w:r w:rsidRPr="00502FAB">
        <w:rPr>
          <w:lang w:eastAsia="sl-SI"/>
        </w:rPr>
        <w:t xml:space="preserve"> naročila na spletni strani, namenjeni izvajanju elektronskega javnega naročanja</w:t>
      </w:r>
      <w:r>
        <w:rPr>
          <w:lang w:eastAsia="sl-SI"/>
        </w:rPr>
        <w:t xml:space="preserve">; </w:t>
      </w:r>
      <w:r w:rsidRPr="00502FAB">
        <w:rPr>
          <w:lang w:eastAsia="sl-SI"/>
        </w:rPr>
        <w:t>menično izjavo je pridobila prepozno; po sklenitvi aneksa k pogodbi, s katerim se je podaljšal rok za izvedbo del, ni pridobila novega finančnega zavarovanja za dobro izvedbo pogodbenih obveznosti s spremenjenim rokom veljavnosti</w:t>
      </w:r>
      <w:r>
        <w:rPr>
          <w:lang w:eastAsia="sl-SI"/>
        </w:rPr>
        <w:t xml:space="preserve">; </w:t>
      </w:r>
      <w:r w:rsidRPr="00502FAB">
        <w:t>aneks k pogodbi je sklenila po zaključku del</w:t>
      </w:r>
      <w:r>
        <w:t xml:space="preserve">; </w:t>
      </w:r>
      <w:r w:rsidRPr="00502FAB">
        <w:t>ponudbe, ki je presegla zagotovljena sredstva v proračunu občine, ni izločila kot nedopustn</w:t>
      </w:r>
      <w:r>
        <w:t>e;</w:t>
      </w:r>
    </w:p>
    <w:p w14:paraId="31279CC0" w14:textId="77777777" w:rsidR="00AC351F" w:rsidRDefault="00AC351F" w:rsidP="00AC351F">
      <w:pPr>
        <w:pStyle w:val="RSnatevanje"/>
        <w:keepLines w:val="0"/>
        <w:numPr>
          <w:ilvl w:val="0"/>
          <w:numId w:val="28"/>
        </w:numPr>
        <w:spacing w:after="80"/>
      </w:pPr>
      <w:r w:rsidRPr="008528DF">
        <w:t xml:space="preserve">za nakup </w:t>
      </w:r>
      <w:r w:rsidRPr="004F221C">
        <w:t>mesečnih vozovnic za javni</w:t>
      </w:r>
      <w:r w:rsidRPr="008528DF">
        <w:t xml:space="preserve"> linijski prome</w:t>
      </w:r>
      <w:r>
        <w:t>t je plačala 780</w:t>
      </w:r>
      <w:r w:rsidRPr="008528DF">
        <w:t xml:space="preserve"> EUR, ne da bi sklenila </w:t>
      </w:r>
      <w:r>
        <w:t xml:space="preserve">pisno </w:t>
      </w:r>
      <w:r w:rsidRPr="008528DF">
        <w:t>pogodbo</w:t>
      </w:r>
      <w:r>
        <w:t xml:space="preserve">; </w:t>
      </w:r>
      <w:r>
        <w:rPr>
          <w:rStyle w:val="RStekstZnak"/>
        </w:rPr>
        <w:t>pogodbe</w:t>
      </w:r>
      <w:r w:rsidRPr="00CB2116">
        <w:rPr>
          <w:rStyle w:val="RStekstZnak"/>
        </w:rPr>
        <w:t xml:space="preserve"> ni objavila v 48 dneh od oddaje javnega</w:t>
      </w:r>
      <w:r w:rsidRPr="00CB2116">
        <w:rPr>
          <w:lang w:eastAsia="sl-SI"/>
        </w:rPr>
        <w:t xml:space="preserve"> naročila na spletni strani, namenjeni izvajanju elektronskega javnega naročanja</w:t>
      </w:r>
      <w:r>
        <w:rPr>
          <w:lang w:eastAsia="sl-SI"/>
        </w:rPr>
        <w:t xml:space="preserve">; </w:t>
      </w:r>
      <w:r>
        <w:t xml:space="preserve">na portalu javnih naročil ni objavila aneksov k pogodbi; </w:t>
      </w:r>
      <w:r w:rsidRPr="007420BD">
        <w:t>pri plačilu obveznosti iz pro</w:t>
      </w:r>
      <w:r>
        <w:t>računa ni upoštevala zakonskih plačilnih rokov; v objavi</w:t>
      </w:r>
      <w:r w:rsidRPr="00CE37FB">
        <w:t xml:space="preserve"> javnega razpisa na področju športa,</w:t>
      </w:r>
      <w:r w:rsidRPr="00CE37FB">
        <w:rPr>
          <w:bCs/>
        </w:rPr>
        <w:t xml:space="preserve"> jav</w:t>
      </w:r>
      <w:r>
        <w:rPr>
          <w:bCs/>
        </w:rPr>
        <w:t>nega razpisa na področju kulture</w:t>
      </w:r>
      <w:r w:rsidRPr="00CE37FB">
        <w:rPr>
          <w:bCs/>
        </w:rPr>
        <w:t xml:space="preserve"> in javnega razpisa </w:t>
      </w:r>
      <w:r>
        <w:rPr>
          <w:bCs/>
        </w:rPr>
        <w:t xml:space="preserve">na področju </w:t>
      </w:r>
      <w:r w:rsidRPr="00F2222E">
        <w:t>programov ostalih društev</w:t>
      </w:r>
      <w:r w:rsidRPr="00F2222E">
        <w:rPr>
          <w:bCs/>
        </w:rPr>
        <w:t xml:space="preserve"> n</w:t>
      </w:r>
      <w:r>
        <w:rPr>
          <w:bCs/>
        </w:rPr>
        <w:t>i navedla</w:t>
      </w:r>
      <w:r w:rsidRPr="00CE37FB">
        <w:rPr>
          <w:bCs/>
        </w:rPr>
        <w:t xml:space="preserve"> vseh obveznih sestavin</w:t>
      </w:r>
      <w:r w:rsidRPr="00EB26DE">
        <w:t xml:space="preserve">; </w:t>
      </w:r>
      <w:r w:rsidRPr="00A41400">
        <w:t>ni razvidno, da bi komisija na področju športa ter na področju kulture za vsako posamezno vlogo ugotavljala, ali je pravočasna, ali jo je vložila upravičena oseba in ali je popolna; dr</w:t>
      </w:r>
      <w:r w:rsidRPr="00F2222E">
        <w:t>uštvu je kot akontacijo dodelila in izplačala</w:t>
      </w:r>
      <w:r>
        <w:t xml:space="preserve"> sredstva, preden je z njim sklenila</w:t>
      </w:r>
      <w:r w:rsidRPr="00DD5DC8">
        <w:rPr>
          <w:lang w:eastAsia="sl-SI"/>
        </w:rPr>
        <w:t xml:space="preserve"> </w:t>
      </w:r>
      <w:r>
        <w:t>pogodbo o sofinanciranju letnega programa športa za leto 2021;</w:t>
      </w:r>
      <w:r w:rsidRPr="0071034B">
        <w:rPr>
          <w:b/>
          <w:lang w:eastAsia="sl-SI"/>
        </w:rPr>
        <w:t xml:space="preserve"> </w:t>
      </w:r>
      <w:r>
        <w:t>društvu</w:t>
      </w:r>
      <w:r w:rsidRPr="00DD2BC2">
        <w:t xml:space="preserve"> je zagotavljala brezpl</w:t>
      </w:r>
      <w:r>
        <w:t xml:space="preserve">ačno uporabo </w:t>
      </w:r>
      <w:r w:rsidRPr="00DD2BC2">
        <w:t>površin za šport</w:t>
      </w:r>
      <w:r>
        <w:t xml:space="preserve"> v naravi</w:t>
      </w:r>
      <w:r w:rsidRPr="00DD2BC2">
        <w:t>, ne da bi izvedla javni razpis</w:t>
      </w:r>
      <w:r>
        <w:t xml:space="preserve">; </w:t>
      </w:r>
      <w:r w:rsidRPr="00DD2BC2">
        <w:rPr>
          <w:lang w:eastAsia="sl-SI"/>
        </w:rPr>
        <w:t>v pogodbo ni vključila protikorupcijske klavzule</w:t>
      </w:r>
      <w:r>
        <w:rPr>
          <w:lang w:eastAsia="sl-SI"/>
        </w:rPr>
        <w:t xml:space="preserve">; </w:t>
      </w:r>
      <w:r w:rsidRPr="00DD2BC2">
        <w:t>ni imela sprejetega lokalnega programa za kulturo</w:t>
      </w:r>
      <w:r>
        <w:t xml:space="preserve">; </w:t>
      </w:r>
      <w:r w:rsidRPr="00F2222E">
        <w:t>v javnem razpisu na področju kulture in javnem razpisu na področju programov ostalih društev ni določila načina uporabe meril; v</w:t>
      </w:r>
      <w:r>
        <w:t xml:space="preserve"> objavi javnega razpisa na področju kulture je določila razpisni rok, krajši od 1 meseca;</w:t>
      </w:r>
      <w:r w:rsidRPr="00F2222E" w:rsidDel="004D1CA7">
        <w:t xml:space="preserve"> </w:t>
      </w:r>
      <w:r w:rsidRPr="00F2222E">
        <w:t>komisija za odpiranje vlog ni pripravila skupnega poročila o ustreznih vlogah</w:t>
      </w:r>
      <w:r>
        <w:t>, prispelih na javni razpis na področju kulture</w:t>
      </w:r>
      <w:r w:rsidRPr="00F2222E">
        <w:t>;</w:t>
      </w:r>
      <w:r>
        <w:t xml:space="preserve"> strokovna komisija ni pripravila zapisnika o odpiranju vlog, prispelih na javni razpis na </w:t>
      </w:r>
      <w:r w:rsidRPr="00254FF4">
        <w:t>področju programov ostalih društev</w:t>
      </w:r>
      <w:r>
        <w:t xml:space="preserve">; </w:t>
      </w:r>
      <w:r>
        <w:rPr>
          <w:lang w:eastAsia="sl-SI"/>
        </w:rPr>
        <w:t>na svetovni splet</w:t>
      </w:r>
      <w:r w:rsidRPr="006E17F4">
        <w:rPr>
          <w:lang w:eastAsia="sl-SI"/>
        </w:rPr>
        <w:t xml:space="preserve"> ni posredovala vseh dokumentov iz javni</w:t>
      </w:r>
      <w:r>
        <w:rPr>
          <w:lang w:eastAsia="sl-SI"/>
        </w:rPr>
        <w:t xml:space="preserve">h razpisov na področju športa, kulture </w:t>
      </w:r>
      <w:r>
        <w:t>ter programov ostalih društev;</w:t>
      </w:r>
    </w:p>
    <w:p w14:paraId="57B52F7D" w14:textId="77777777" w:rsidR="00AC351F" w:rsidRDefault="00AC351F" w:rsidP="00AC351F">
      <w:pPr>
        <w:pStyle w:val="RSnatevanje"/>
        <w:keepLines w:val="0"/>
        <w:numPr>
          <w:ilvl w:val="0"/>
          <w:numId w:val="28"/>
        </w:numPr>
        <w:spacing w:after="80"/>
      </w:pPr>
      <w:r w:rsidRPr="005B1896">
        <w:t>ni v celoti izvajala nadzora nad zadolževanjem pravnih oseb javnega sektorja na ravni občine</w:t>
      </w:r>
      <w:r>
        <w:t xml:space="preserve">; </w:t>
      </w:r>
      <w:r w:rsidRPr="00CC1CD1">
        <w:t>od javnega zavoda</w:t>
      </w:r>
      <w:r>
        <w:t>, katerega</w:t>
      </w:r>
      <w:r w:rsidRPr="00CC1CD1">
        <w:t xml:space="preserve"> soustanoviteljica je, ni pridobila podatkov o stanju zadolženosti na dan 31. 12. 2021</w:t>
      </w:r>
      <w:r>
        <w:rPr>
          <w:lang w:eastAsia="sl-SI"/>
        </w:rPr>
        <w:t>;</w:t>
      </w:r>
      <w:r>
        <w:t xml:space="preserve"> </w:t>
      </w:r>
    </w:p>
    <w:p w14:paraId="5CEBC206" w14:textId="77777777" w:rsidR="00AC351F" w:rsidRDefault="00AC351F" w:rsidP="00AC351F">
      <w:pPr>
        <w:pStyle w:val="RSnatevanje"/>
        <w:keepLines w:val="0"/>
        <w:numPr>
          <w:ilvl w:val="0"/>
          <w:numId w:val="28"/>
        </w:numPr>
        <w:spacing w:after="80"/>
      </w:pPr>
      <w:r w:rsidRPr="003F784A">
        <w:rPr>
          <w:lang w:eastAsia="sl-SI"/>
        </w:rPr>
        <w:t xml:space="preserve">župan </w:t>
      </w:r>
      <w:r>
        <w:rPr>
          <w:lang w:eastAsia="sl-SI"/>
        </w:rPr>
        <w:t>v letu 2021</w:t>
      </w:r>
      <w:r w:rsidRPr="003F784A">
        <w:rPr>
          <w:lang w:eastAsia="sl-SI"/>
        </w:rPr>
        <w:t xml:space="preserve"> ni </w:t>
      </w:r>
      <w:r>
        <w:rPr>
          <w:lang w:eastAsia="sl-SI"/>
        </w:rPr>
        <w:t>imenoval tajnika občine.</w:t>
      </w:r>
    </w:p>
    <w:p w14:paraId="5B7F446F" w14:textId="77777777" w:rsidR="00AC351F" w:rsidRDefault="00AC351F" w:rsidP="00AC351F">
      <w:pPr>
        <w:pStyle w:val="RStekst"/>
        <w:keepLines/>
      </w:pPr>
      <w:r w:rsidRPr="00BB2E7D">
        <w:lastRenderedPageBreak/>
        <w:t xml:space="preserve">Računsko sodišče je Občini Štore podalo </w:t>
      </w:r>
      <w:r w:rsidRPr="00BB2E7D">
        <w:rPr>
          <w:b/>
        </w:rPr>
        <w:t>priporočila</w:t>
      </w:r>
      <w:r w:rsidRPr="00BB2E7D">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21CC44C3" w14:textId="3595EFFF" w:rsidR="003D1FAE" w:rsidRDefault="003D1FAE" w:rsidP="003D1FAE">
      <w:pPr>
        <w:pStyle w:val="RStekst"/>
      </w:pPr>
    </w:p>
    <w:p w14:paraId="35897DF7" w14:textId="43A5445C" w:rsidR="008629A2" w:rsidRDefault="008629A2" w:rsidP="008629A2">
      <w:pPr>
        <w:pStyle w:val="RStekst"/>
      </w:pPr>
      <w:r>
        <w:t>Ljubljana,</w:t>
      </w:r>
      <w:r w:rsidR="00BD319A">
        <w:t xml:space="preserve"> 30. novembra 2023</w:t>
      </w:r>
      <w:bookmarkStart w:id="0" w:name="_GoBack"/>
      <w:bookmarkEnd w:id="0"/>
      <w:r>
        <w:t xml:space="preserve"> </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63F29481"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BD319A">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4792884"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BD319A">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5FD69A9"/>
    <w:multiLevelType w:val="multilevel"/>
    <w:tmpl w:val="10A4B764"/>
    <w:lvl w:ilvl="0">
      <w:start w:val="1"/>
      <w:numFmt w:val="bullet"/>
      <w:pStyle w:val="RSnatevanje"/>
      <w:lvlText w:val=""/>
      <w:lvlJc w:val="left"/>
      <w:pPr>
        <w:tabs>
          <w:tab w:val="num" w:pos="397"/>
        </w:tabs>
        <w:ind w:left="397" w:hanging="397"/>
      </w:pPr>
      <w:rPr>
        <w:rFonts w:ascii="Symbol" w:hAnsi="Symbol" w:hint="default"/>
        <w:caps w:val="0"/>
        <w:strike w:val="0"/>
        <w:dstrike w:val="0"/>
        <w:vanish w:val="0"/>
        <w:color w:val="auto"/>
        <w:sz w:val="20"/>
        <w:vertAlign w:val="baseline"/>
      </w:rPr>
    </w:lvl>
    <w:lvl w:ilvl="1">
      <w:start w:val="1"/>
      <w:numFmt w:val="bullet"/>
      <w:pStyle w:val="RSnatevanje2"/>
      <w:lvlText w:val="–"/>
      <w:lvlJc w:val="left"/>
      <w:pPr>
        <w:tabs>
          <w:tab w:val="num" w:pos="794"/>
        </w:tabs>
        <w:ind w:left="794" w:hanging="397"/>
      </w:pPr>
      <w:rPr>
        <w:rFonts w:ascii="Cambria" w:hAnsi="Cambria" w:hint="default"/>
        <w:caps w:val="0"/>
        <w:strike w:val="0"/>
        <w:dstrike w:val="0"/>
        <w:vanish w:val="0"/>
        <w:color w:val="auto"/>
        <w:sz w:val="18"/>
        <w:szCs w:val="18"/>
        <w:vertAlign w:val="baseline"/>
      </w:rPr>
    </w:lvl>
    <w:lvl w:ilvl="2">
      <w:start w:val="1"/>
      <w:numFmt w:val="bullet"/>
      <w:pStyle w:val="RSnatevanje3"/>
      <w:lvlText w:val=""/>
      <w:lvlJc w:val="left"/>
      <w:pPr>
        <w:tabs>
          <w:tab w:val="num" w:pos="1191"/>
        </w:tabs>
        <w:ind w:left="1191" w:hanging="39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2"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3"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4"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3"/>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2"/>
  </w:num>
  <w:num w:numId="19">
    <w:abstractNumId w:val="2"/>
  </w:num>
  <w:num w:numId="20">
    <w:abstractNumId w:val="7"/>
  </w:num>
  <w:num w:numId="21">
    <w:abstractNumId w:val="3"/>
  </w:num>
  <w:num w:numId="22">
    <w:abstractNumId w:val="24"/>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0"/>
  </w:num>
  <w:num w:numId="29">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1106"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C351F"/>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D319A"/>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1e3d3dff-4392-4e99-aebd-c95b4ee1af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2023-11-30T13:21:00Z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