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906038E" w:rsidR="008629A2" w:rsidRPr="00F4569E" w:rsidRDefault="008629A2" w:rsidP="00120AF3">
      <w:pPr>
        <w:pStyle w:val="RSGLAVNINASLOV"/>
      </w:pPr>
      <w:bookmarkStart w:id="0" w:name="_GoBack"/>
      <w:bookmarkEnd w:id="0"/>
      <w:r w:rsidRPr="009176A9">
        <w:t xml:space="preserve">Povzetek </w:t>
      </w:r>
      <w:r w:rsidRPr="00120AF3">
        <w:t>revizijskega</w:t>
      </w:r>
      <w:r w:rsidRPr="009176A9">
        <w:t xml:space="preserve"> poročila </w:t>
      </w:r>
      <w:r w:rsidR="00120AF3">
        <w:br/>
      </w:r>
      <w:r w:rsidR="00120AF3" w:rsidRPr="00120AF3">
        <w:t>Pravilnost dela poslovanja Občine Šempeter - Vrtojba</w:t>
      </w:r>
    </w:p>
    <w:p w14:paraId="638B9A96" w14:textId="77777777" w:rsidR="00120AF3" w:rsidRPr="00120AF3" w:rsidRDefault="00120AF3" w:rsidP="00120AF3">
      <w:pPr>
        <w:pStyle w:val="RStekst"/>
      </w:pPr>
      <w:r w:rsidRPr="00120AF3">
        <w:t>Računsko sodišče je revidiralo pravilnost poslovanja Občine Šempeter - Vrtojba v letu 2021</w:t>
      </w:r>
      <w:r w:rsidRPr="00120AF3">
        <w:rPr>
          <w:b/>
        </w:rPr>
        <w:t xml:space="preserve">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r w:rsidRPr="00120AF3">
        <w:t>. Cilj revizije je bil izrek mnenja o pravilnosti poslovanja Občine Šempeter - Vrtojba v letu 2021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p>
    <w:p w14:paraId="7DB64E7F" w14:textId="77777777" w:rsidR="00120AF3" w:rsidRPr="00120AF3" w:rsidRDefault="00120AF3" w:rsidP="00120AF3">
      <w:pPr>
        <w:pStyle w:val="RStekst"/>
      </w:pPr>
      <w:r w:rsidRPr="00120AF3">
        <w:t xml:space="preserve">Računsko sodišče je o pravilnosti dela poslovanja Občine Šempeter - Vrtojba v letu 2021 izreklo </w:t>
      </w:r>
      <w:r w:rsidRPr="00120AF3">
        <w:rPr>
          <w:rStyle w:val="RStekstBoldbarva"/>
        </w:rPr>
        <w:t>negativno mnenje</w:t>
      </w:r>
      <w:r w:rsidRPr="00120AF3">
        <w:t>, ker občina ni poslovala v skladu s predpisi ter pogodbenimi določili v naslednjih primerih:</w:t>
      </w:r>
    </w:p>
    <w:p w14:paraId="55EE4E74" w14:textId="77777777" w:rsidR="00120AF3" w:rsidRPr="00120AF3" w:rsidRDefault="00120AF3" w:rsidP="00120AF3">
      <w:pPr>
        <w:pStyle w:val="RSnatevanje"/>
        <w:keepLines w:val="0"/>
      </w:pPr>
      <w:r w:rsidRPr="00120AF3">
        <w:t xml:space="preserve">obrazložitve proračuna občine za leto 2021 in poročilo o realizaciji proračuna občine v prvem polletju 2021 niso popolni; </w:t>
      </w:r>
      <w:r w:rsidRPr="00120AF3">
        <w:tab/>
        <w:t>župan je občinskemu svetu prepozno predložil predlog zaključnega računa proračuna v sprejem; občina v letu 2021 ni mesečno načrtovala likvidnosti proračuna; ni vzpostavila sistema spremljanja prevzetih obveznosti v breme proračunov prihodnjih let; evidenca nepremičnega premoženja ni popolna; v 1 primeru prodaje nepremičnega premoženja in v 5 primerih oddaje stvarnega premoženja v brezplačno uporabo ni imenovala skrbnika pravnega posla oziroma ga ni določila v pogodbi; v 2 primerih je v pogodbi o oddaji poslovnega prostora dopustila, da sta imela najemnika v primeru prodaje predmeta najema predkupno pravico; z 8 uporabniki nepremičnega premoženja je sklenila neposredne pogodbe o brezplačni uporabi, čeprav za to niso bili izpolnjeni pogoji; na podlagi najemne pogodbe in aneksa št. 1 k najemni pogodbi, ki ne določata načina plačila najemnine, je najemnino zaračunavala v tekočem mesecu za pretekli mesec; za oddajo poslovne stavbe v najem ni sprejela posamičnega programa upravljanja s stvarnim premoženjem; ni pridobila cenitve za višino najemnine za poslovno stavbo; po uveljavitvi Zakona o spremembah in dopolnitvah Zakona o podpornem okolju za podjetništvo je še naprej zagotavljala financiranje delovanja družbe zasebnega prava, čeprav za to ni imela več pravne podlage, in ni pristopila k ureditvi najemnega razmerja na način, da bi tej družbi zaračunavala tržno najemnino; družba zasebnega prava sredstev</w:t>
      </w:r>
      <w:r w:rsidRPr="00120AF3" w:rsidDel="00F7793A">
        <w:t xml:space="preserve"> </w:t>
      </w:r>
      <w:r w:rsidRPr="00120AF3">
        <w:t xml:space="preserve">ni porabila v skladu s pogodbenim določilom oziroma za investiranje v poslovno nepremičnino, kar kaže na pomanjkljiv pregled in nadzor občine nad delom poslovodij družbe zasebnega prava; </w:t>
      </w:r>
      <w:r w:rsidRPr="00120AF3">
        <w:tab/>
        <w:t xml:space="preserve">obravnavala je vlogi za oprostitev plačila najemnine 2 najemnikov, ki sta bili oddani več kot 6 mesecev po roku za oddajo vloge; v 3 primerih je najemnikom izstavila 3 račune za plačilo </w:t>
      </w:r>
      <w:r w:rsidRPr="00120AF3">
        <w:lastRenderedPageBreak/>
        <w:t xml:space="preserve">najemnin za 3 mesece skupaj, v 1 primeru pa v letu 2021 ni izstavila računov za plačilo najemnine; </w:t>
      </w:r>
    </w:p>
    <w:p w14:paraId="32449CC5" w14:textId="77777777" w:rsidR="00120AF3" w:rsidRPr="00120AF3" w:rsidRDefault="00120AF3" w:rsidP="00120AF3">
      <w:pPr>
        <w:pStyle w:val="RSnatevanje"/>
      </w:pPr>
      <w:r w:rsidRPr="00120AF3">
        <w:t xml:space="preserve">v 3 primerih pred uvrstitvijo projekta v načrt razvojnih programov ni pripravila dokumenta identifikacije investicijskega projekta, v 1 primeru pa tudi ni pripravila investicijskega programa; s sklenitvijo gradbene pogodbe za postavitev nadstreška, aneksa k tej pogodbi in izdajo naročilnice istemu izvajalcu za dobavo istovrstnega in podobnega blaga ter izvedbo istovrstnih del je vrednost javnih naročil razdelila in se izognila postopku javnega naročanja; v razpisni dokumentaciji za javno naročilo je navedla določila, ki so v neskladju z načelom zagotavljanja konkurence med ponudniki; prejela je menično izjavo za unovčitev menic za odpravo napak v garancijski dobi le za 4 in ne za 5 let; po sklenitvi aneksa št. 2 k pogodbi od izvajalca ni pridobila nove bianco menice za dobro izvedbo pogodbenih obveznosti; v 3 primerih je izdala naročilnice po tem, ko so bile storitve že izvedene; z izdajo naročilnice je prevzela obveznosti, za katere ni imela zagotovljenih sredstev v proračunu v času prevzema obveznosti; </w:t>
      </w:r>
    </w:p>
    <w:p w14:paraId="0D3F093C" w14:textId="77777777" w:rsidR="00120AF3" w:rsidRPr="00120AF3" w:rsidRDefault="00120AF3" w:rsidP="00120AF3">
      <w:pPr>
        <w:pStyle w:val="RSnatevanje"/>
      </w:pPr>
      <w:r w:rsidRPr="00120AF3">
        <w:t xml:space="preserve">ni v celoti izvajala nadzora nad poslovanjem osnovne šole; v razpisni dokumentaciji ni določila načina uporabe merila; s prejemnikom sredstev je sklenila neposredno pogodbo, čeprav je bila njegova vloga na javni razpis prepozna; objava javnega razpisa občine za področje turizma in razpisna dokumentacija nista vsebovali vseh potrebnih sestavin, med drugim tudi načina uporabe merila; sklenila je pogodbo o sofinanciranju, ne da bi vanjo vključila protikorupcijsko klavzulo; </w:t>
      </w:r>
    </w:p>
    <w:p w14:paraId="46520A34" w14:textId="77777777" w:rsidR="00120AF3" w:rsidRPr="00120AF3" w:rsidRDefault="00120AF3" w:rsidP="00120AF3">
      <w:pPr>
        <w:pStyle w:val="RSnatevanje"/>
      </w:pPr>
      <w:r w:rsidRPr="00120AF3">
        <w:t>za sklenitev kreditnih pogodb in zavarovanje obveznosti družbe zasebnega prava s hipoteko na lastnih nepremičninah ni imela podlage v javnofinančnih predpisih; družbi zasebnega prava je omogočila odplačilo kredita, ki po vsebini predstavlja dolg občine</w:t>
      </w:r>
      <w:r w:rsidRPr="00120AF3" w:rsidDel="00F7793A">
        <w:t>, ne da bi se sama zadolžila na način, da bi v odloku o proračunu občine načrtovala obseg zadolževanja</w:t>
      </w:r>
      <w:r w:rsidRPr="00120AF3">
        <w:t xml:space="preserve"> ter pridobila </w:t>
      </w:r>
      <w:r w:rsidRPr="00120AF3" w:rsidDel="00F7793A">
        <w:t xml:space="preserve">soglasje </w:t>
      </w:r>
      <w:r w:rsidRPr="00120AF3">
        <w:t>Ministrstva za finance, posledično pa tudi Ministrstvu za finance o teh pravnih poslih ni poročala kot o zadolžitvi občine; ni v celoti izvajala nadzora nad zadolževanjem pravnih oseb javnega sektorja na ravni občine; od javnega podjetja in javnega zavoda podatkov o stanju zadolženosti</w:t>
      </w:r>
      <w:r w:rsidRPr="00120AF3" w:rsidDel="002736F6">
        <w:t xml:space="preserve"> </w:t>
      </w:r>
      <w:r w:rsidRPr="00120AF3">
        <w:t xml:space="preserve">na dan 31. 12.2021 ni pridobila pravočasno. </w:t>
      </w:r>
    </w:p>
    <w:p w14:paraId="545E4AB3" w14:textId="77777777" w:rsidR="00120AF3" w:rsidRPr="00120AF3" w:rsidRDefault="00120AF3" w:rsidP="00120AF3">
      <w:pPr>
        <w:pStyle w:val="RStekst"/>
      </w:pPr>
      <w:r w:rsidRPr="00120AF3">
        <w:t xml:space="preserve">Računsko sodišče je Občini Šempeter - Vrtojba podalo </w:t>
      </w:r>
      <w:r w:rsidRPr="00120AF3">
        <w:rPr>
          <w:b/>
        </w:rPr>
        <w:t>priporočila</w:t>
      </w:r>
      <w:r w:rsidRPr="00120AF3">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1C21AA38" w:rsidR="008629A2" w:rsidRDefault="008629A2" w:rsidP="008629A2">
      <w:pPr>
        <w:pStyle w:val="RStekst"/>
      </w:pPr>
      <w:r>
        <w:t xml:space="preserve">Ljubljana, </w:t>
      </w:r>
      <w:r w:rsidR="00120AF3">
        <w:t>13. decembra 2023</w:t>
      </w:r>
    </w:p>
    <w:sectPr w:rsidR="008629A2" w:rsidSect="000A0B85">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3551E" w14:textId="77777777" w:rsidR="000A6F86" w:rsidRDefault="000A6F86">
      <w:r>
        <w:separator/>
      </w:r>
    </w:p>
    <w:p w14:paraId="52356CFD" w14:textId="77777777" w:rsidR="000A6F86" w:rsidRDefault="000A6F86"/>
    <w:p w14:paraId="66A300F2" w14:textId="77777777" w:rsidR="000A6F86" w:rsidRDefault="000A6F86"/>
  </w:endnote>
  <w:endnote w:type="continuationSeparator" w:id="0">
    <w:p w14:paraId="3746B8E0" w14:textId="77777777" w:rsidR="000A6F86" w:rsidRDefault="000A6F86">
      <w:r>
        <w:continuationSeparator/>
      </w:r>
    </w:p>
    <w:p w14:paraId="2F2F3D99" w14:textId="77777777" w:rsidR="000A6F86" w:rsidRDefault="000A6F86"/>
    <w:p w14:paraId="425AD05A" w14:textId="77777777" w:rsidR="000A6F86" w:rsidRDefault="000A6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0EB61376"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1473F7">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B658530"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473F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353D" w14:textId="77777777" w:rsidR="000A6F86" w:rsidRPr="00935F2E" w:rsidRDefault="000A6F86">
      <w:pPr>
        <w:rPr>
          <w:color w:val="7F7F7F" w:themeColor="text1" w:themeTint="80"/>
          <w:sz w:val="60"/>
          <w:szCs w:val="60"/>
        </w:rPr>
      </w:pPr>
      <w:r w:rsidRPr="00935F2E">
        <w:rPr>
          <w:color w:val="7F7F7F" w:themeColor="text1" w:themeTint="80"/>
          <w:sz w:val="60"/>
          <w:szCs w:val="60"/>
        </w:rPr>
        <w:separator/>
      </w:r>
    </w:p>
  </w:footnote>
  <w:footnote w:type="continuationSeparator" w:id="0">
    <w:p w14:paraId="6AE6C430" w14:textId="77777777" w:rsidR="000A6F86" w:rsidRDefault="000A6F86">
      <w:r>
        <w:continuationSeparator/>
      </w:r>
    </w:p>
    <w:p w14:paraId="320160FF" w14:textId="77777777" w:rsidR="000A6F86" w:rsidRDefault="000A6F86"/>
    <w:p w14:paraId="79F2DE57" w14:textId="77777777" w:rsidR="000A6F86" w:rsidRDefault="000A6F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8456" w14:textId="77777777" w:rsidR="001473F7" w:rsidRDefault="001473F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6F86"/>
    <w:rsid w:val="000A727E"/>
    <w:rsid w:val="000B44B9"/>
    <w:rsid w:val="000D5FEF"/>
    <w:rsid w:val="000F09C0"/>
    <w:rsid w:val="000F4860"/>
    <w:rsid w:val="001047C8"/>
    <w:rsid w:val="00110856"/>
    <w:rsid w:val="00113B06"/>
    <w:rsid w:val="00115FF1"/>
    <w:rsid w:val="00120AF3"/>
    <w:rsid w:val="0013072A"/>
    <w:rsid w:val="001367FE"/>
    <w:rsid w:val="001379AA"/>
    <w:rsid w:val="00142BDB"/>
    <w:rsid w:val="00142EF5"/>
    <w:rsid w:val="001473F7"/>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2023-12-13T15:37:00Z</dcterms:created>
  <dcterms:modified xsi:type="dcterms:W3CDTF">2023-12-13T15:37:00Z</dcterms:modified>
</cp:coreProperties>
</file>