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2625566" w:rsidR="008629A2" w:rsidRPr="00F4569E" w:rsidRDefault="008629A2" w:rsidP="008629A2">
      <w:pPr>
        <w:pStyle w:val="RSGLAVNINASLOV"/>
        <w:rPr>
          <w:spacing w:val="-2"/>
        </w:rPr>
      </w:pPr>
      <w:r w:rsidRPr="009176A9">
        <w:rPr>
          <w:spacing w:val="-2"/>
        </w:rPr>
        <w:t xml:space="preserve">Povzetek revizijskega poročila </w:t>
      </w:r>
      <w:r w:rsidR="00EE6229">
        <w:rPr>
          <w:spacing w:val="-2"/>
        </w:rPr>
        <w:br/>
      </w:r>
      <w:r w:rsidR="00EE6229" w:rsidRPr="00EE6229">
        <w:rPr>
          <w:spacing w:val="-2"/>
        </w:rPr>
        <w:t>Predlog zaključnega računa proračuna Republike Slovenije za leto 2022</w:t>
      </w:r>
    </w:p>
    <w:p w14:paraId="34D80920" w14:textId="77777777" w:rsidR="00EE6229" w:rsidRPr="00A77C0E" w:rsidRDefault="00EE6229" w:rsidP="00EE6229">
      <w:pPr>
        <w:pStyle w:val="RStekst"/>
      </w:pPr>
      <w:r w:rsidRPr="00A77C0E">
        <w:t xml:space="preserve">Računsko sodišče je revidiralo </w:t>
      </w:r>
      <w:r w:rsidRPr="00A77C0E">
        <w:rPr>
          <w:b/>
        </w:rPr>
        <w:t xml:space="preserve">predlog zaključnega računa proračuna Republike Slovenije </w:t>
      </w:r>
      <w:r>
        <w:rPr>
          <w:b/>
        </w:rPr>
        <w:t>za </w:t>
      </w:r>
      <w:r w:rsidRPr="00A77C0E">
        <w:rPr>
          <w:b/>
        </w:rPr>
        <w:t>leto 2022 in pravilnost izvršitve državnega proračuna za leto 2022</w:t>
      </w:r>
      <w:r w:rsidRPr="00345920">
        <w:rPr>
          <w:b/>
        </w:rPr>
        <w:t>.</w:t>
      </w:r>
    </w:p>
    <w:p w14:paraId="5EE2D987" w14:textId="77777777" w:rsidR="00EE6229" w:rsidRPr="00A77C0E" w:rsidRDefault="00EE6229" w:rsidP="00EE6229">
      <w:pPr>
        <w:pStyle w:val="RStekst"/>
      </w:pPr>
      <w:r w:rsidRPr="00A77C0E">
        <w:t>Cilja revizije sta bila izrek mnenja o predlogu splošnega dela predloga zaključnega računa (obsega bilanco prihodkov in odhodkov, račun finančnih terjatev in naložb ter račun financiranja) in izrek mnenja o pravilnosti izvršitve državnega proračuna za leto 2022.</w:t>
      </w:r>
    </w:p>
    <w:p w14:paraId="3FC00621" w14:textId="77777777" w:rsidR="00EE6229" w:rsidRPr="00A77C0E" w:rsidRDefault="00EE6229" w:rsidP="00EE6229">
      <w:pPr>
        <w:pStyle w:val="RStekst"/>
      </w:pPr>
      <w:r w:rsidRPr="00A77C0E">
        <w:t>Revidirani uporabniki javnih sredstev so bili Vlada Republike Slovenije, posamezna ministrstva, vladne službe ter upravna enota.</w:t>
      </w:r>
    </w:p>
    <w:p w14:paraId="44B80405" w14:textId="77777777" w:rsidR="00EE6229" w:rsidRPr="00A77C0E" w:rsidRDefault="00EE6229" w:rsidP="00EE6229">
      <w:pPr>
        <w:pStyle w:val="RStekst"/>
      </w:pPr>
      <w:r w:rsidRPr="00A77C0E">
        <w:t xml:space="preserve">Računsko sodišče je o predlogu splošnega dela zaključnega računa za leto 2022 izreklo </w:t>
      </w:r>
      <w:r w:rsidRPr="00EE6229">
        <w:rPr>
          <w:rFonts w:ascii="Cambria" w:eastAsiaTheme="minorEastAsia" w:hAnsi="Cambria"/>
          <w:b/>
        </w:rPr>
        <w:t>pozitivno mnenje,</w:t>
      </w:r>
      <w:r w:rsidRPr="00EE6229">
        <w:t xml:space="preserve"> ker ugotovljene napake pri izkazovanju prejemkov in izdatkov niso bile </w:t>
      </w:r>
      <w:r w:rsidRPr="00A77C0E">
        <w:t>pomembne.</w:t>
      </w:r>
    </w:p>
    <w:p w14:paraId="627EFA19" w14:textId="77777777" w:rsidR="00EE6229" w:rsidRPr="00A77C0E" w:rsidRDefault="00EE6229" w:rsidP="00EE6229">
      <w:pPr>
        <w:pStyle w:val="RStekst"/>
      </w:pPr>
      <w:r w:rsidRPr="00A77C0E">
        <w:t>Računsko sodišče je opozorilo na izjeme od okvira računovodske</w:t>
      </w:r>
      <w:r>
        <w:t>ga poročanja, ki je predpisan z </w:t>
      </w:r>
      <w:r w:rsidRPr="00A77C0E">
        <w:t>Zakonom o javnih financah in Zakonom o računovodstvu. Pri računovodskem obravnavanju poslovnih dogodkov, ki se nanašajo na izvrševanje državnega proračuna, so namreč z različnimi zakoni predpisane izjeme oziroma odmiki od okvira računovodskega poročanja, tako da so določeni poslovni dogodki izvzeti od splošnega načela popolnosti izkazovanja prejemkov in izdatkov. Navedeno povzroča pomembna odstopanja predstavitev in razkritij od okvira računovodskega poročanja.</w:t>
      </w:r>
    </w:p>
    <w:p w14:paraId="3C4D7975" w14:textId="77777777" w:rsidR="00EE6229" w:rsidRPr="00A77C0E" w:rsidRDefault="00EE6229" w:rsidP="00EE6229">
      <w:pPr>
        <w:pStyle w:val="RStekst"/>
      </w:pPr>
      <w:r w:rsidRPr="00A77C0E">
        <w:t xml:space="preserve">Računsko sodišče je na podlagi ugotovitev o pravilnosti izvršitve državnega proračuna za leto 2022 </w:t>
      </w:r>
      <w:r w:rsidRPr="00EE6229">
        <w:t xml:space="preserve">v delu, ki se nanaša na vladne proračunske uporabnike, izreklo </w:t>
      </w:r>
      <w:r w:rsidRPr="00EE6229">
        <w:rPr>
          <w:rFonts w:ascii="Cambria" w:eastAsiaTheme="minorEastAsia" w:hAnsi="Cambria"/>
          <w:b/>
        </w:rPr>
        <w:t xml:space="preserve">mnenje s pridržkom. </w:t>
      </w:r>
      <w:r w:rsidRPr="00EE6229">
        <w:t xml:space="preserve">Ugotovljena </w:t>
      </w:r>
      <w:r w:rsidRPr="00A77C0E">
        <w:t>neskladja s predpisi so navedena v nadaljevanju.</w:t>
      </w:r>
    </w:p>
    <w:p w14:paraId="03395852" w14:textId="77777777" w:rsidR="00EE6229" w:rsidRPr="00A77C0E" w:rsidRDefault="00EE6229" w:rsidP="00EE6229">
      <w:pPr>
        <w:pStyle w:val="RStekst"/>
      </w:pPr>
      <w:r w:rsidRPr="00A77C0E">
        <w:t>Neskladja s predpisi in drugimi pravnimi akti o plačah in drugih odhodkih zaposlenih:</w:t>
      </w:r>
    </w:p>
    <w:p w14:paraId="49FDFAF6" w14:textId="77777777" w:rsidR="00EE6229" w:rsidRPr="00A77C0E" w:rsidRDefault="00EE6229" w:rsidP="00EE6229">
      <w:pPr>
        <w:pStyle w:val="RSnatevanje"/>
        <w:keepLines w:val="0"/>
        <w:numPr>
          <w:ilvl w:val="0"/>
          <w:numId w:val="31"/>
        </w:numPr>
        <w:spacing w:after="80"/>
      </w:pPr>
      <w:r w:rsidRPr="00A77C0E">
        <w:t>Zakon o javnih financah: sredstva proračuna niso bila uporabljena za financiranje funkcij državnih organov in za izvajanje njihovih nalog;</w:t>
      </w:r>
    </w:p>
    <w:p w14:paraId="2F91798D" w14:textId="77777777" w:rsidR="00EE6229" w:rsidRPr="00A77C0E" w:rsidRDefault="00EE6229" w:rsidP="00EE6229">
      <w:pPr>
        <w:pStyle w:val="RSnatevanje"/>
        <w:keepLines w:val="0"/>
        <w:numPr>
          <w:ilvl w:val="0"/>
          <w:numId w:val="31"/>
        </w:numPr>
        <w:spacing w:after="80"/>
      </w:pPr>
      <w:r w:rsidRPr="00A77C0E">
        <w:t>Zakon o Vladi Republike Slovenije: tarifni razredi v Uredbi o notranji organizaciji, sistemizaciji, delovnih mestih in nazivih v organih javne uprave in v pravo</w:t>
      </w:r>
      <w:r>
        <w:t>sodnih organih niso usklajeni s </w:t>
      </w:r>
      <w:r w:rsidRPr="00A77C0E">
        <w:t>tarifnim razredom, določenim v Kolektivni pogodbi za državno upravo, uprave pravosodnih organov in uprave samoupravnih lokalnih skupnosti – tarifni del;</w:t>
      </w:r>
    </w:p>
    <w:p w14:paraId="7AF0D9F4" w14:textId="77777777" w:rsidR="00EE6229" w:rsidRPr="00A77C0E" w:rsidRDefault="00EE6229" w:rsidP="00EE6229">
      <w:pPr>
        <w:pStyle w:val="RSnatevanje"/>
        <w:keepLines w:val="0"/>
        <w:numPr>
          <w:ilvl w:val="0"/>
          <w:numId w:val="31"/>
        </w:numPr>
        <w:spacing w:after="80"/>
      </w:pPr>
      <w:r w:rsidRPr="00A77C0E">
        <w:t xml:space="preserve">Zakon o delovnih razmerjih: javnim uslužbencem je bil nepravilno obračunan dodatek za nočno delo, delo preko polnega delovnega časa ni bilo odrejeno pred začetkom opravljanja nadurnega </w:t>
      </w:r>
      <w:r w:rsidRPr="00A77C0E">
        <w:lastRenderedPageBreak/>
        <w:t xml:space="preserve">dela oziroma je bila </w:t>
      </w:r>
      <w:r w:rsidRPr="00A77C0E">
        <w:rPr>
          <w:lang w:eastAsia="sl-SI"/>
        </w:rPr>
        <w:t xml:space="preserve">pisna odreditev nadurnega dela vročena prepozno, </w:t>
      </w:r>
      <w:r w:rsidRPr="00A77C0E">
        <w:t>dodatek za delo preko polnega delovnega časa ni bil pravilno obračunan in izplačan;</w:t>
      </w:r>
    </w:p>
    <w:p w14:paraId="04E66DA4" w14:textId="77777777" w:rsidR="00EE6229" w:rsidRPr="00A77C0E" w:rsidRDefault="00EE6229" w:rsidP="00EE6229">
      <w:pPr>
        <w:pStyle w:val="RSnatevanje"/>
        <w:keepLines w:val="0"/>
        <w:numPr>
          <w:ilvl w:val="0"/>
          <w:numId w:val="31"/>
        </w:numPr>
        <w:spacing w:after="80"/>
      </w:pPr>
      <w:r w:rsidRPr="00A77C0E">
        <w:t>Zakon o obrambi: pripadniku Slovenske vojske pri obračunu za stalnost ni bilo upoštevano obdobje pripravništva;</w:t>
      </w:r>
    </w:p>
    <w:p w14:paraId="1708D3C5" w14:textId="77777777" w:rsidR="00EE6229" w:rsidRPr="00A77C0E" w:rsidRDefault="00EE6229" w:rsidP="00EE6229">
      <w:pPr>
        <w:pStyle w:val="RSnatevanje"/>
        <w:keepLines w:val="0"/>
        <w:numPr>
          <w:ilvl w:val="0"/>
          <w:numId w:val="31"/>
        </w:numPr>
        <w:spacing w:after="80"/>
        <w:rPr>
          <w:lang w:eastAsia="sl-SI"/>
        </w:rPr>
      </w:pPr>
      <w:r w:rsidRPr="00A77C0E">
        <w:rPr>
          <w:lang w:eastAsia="sl-SI"/>
        </w:rPr>
        <w:t xml:space="preserve">Kolektivna pogodba za javni sektor: </w:t>
      </w:r>
      <w:r w:rsidRPr="00A77C0E">
        <w:t>javni uslužbenki ni bil obračunan in izplačan dodatek za delo v neenakomerno razporejenem delovnem času, bil pa ji je neupravičeno izplačan dodatek za izmensko delo, javni uslužbenki je bil nepravilno obračunan in izplačan dodatek za delovno dobo;</w:t>
      </w:r>
    </w:p>
    <w:p w14:paraId="48B0DFF8" w14:textId="77777777" w:rsidR="00EE6229" w:rsidRPr="00A77C0E" w:rsidRDefault="00EE6229" w:rsidP="00EE6229">
      <w:pPr>
        <w:pStyle w:val="RSnatevanje"/>
        <w:keepLines w:val="0"/>
        <w:numPr>
          <w:ilvl w:val="0"/>
          <w:numId w:val="31"/>
        </w:numPr>
        <w:spacing w:after="80"/>
        <w:rPr>
          <w:lang w:eastAsia="sl-SI"/>
        </w:rPr>
      </w:pPr>
      <w:r w:rsidRPr="00A77C0E">
        <w:rPr>
          <w:lang w:eastAsia="sl-SI"/>
        </w:rPr>
        <w:t>Kolektivna pogodbo za negospodarske dejavnosti</w:t>
      </w:r>
      <w:r>
        <w:rPr>
          <w:lang w:eastAsia="sl-SI"/>
        </w:rPr>
        <w:t xml:space="preserve"> v Republiki Sloveniji</w:t>
      </w:r>
      <w:r w:rsidRPr="00A77C0E">
        <w:rPr>
          <w:lang w:eastAsia="sl-SI"/>
        </w:rPr>
        <w:t xml:space="preserve">: </w:t>
      </w:r>
      <w:r w:rsidRPr="00A77C0E">
        <w:t>solidarnostna pomoč je bila javni uslužbenki odobrena in izplačana v previsokem znesku.</w:t>
      </w:r>
    </w:p>
    <w:p w14:paraId="448CF7CC" w14:textId="77777777" w:rsidR="00EE6229" w:rsidRPr="00A77C0E" w:rsidRDefault="00EE6229" w:rsidP="00EE6229">
      <w:pPr>
        <w:pStyle w:val="RStekst"/>
      </w:pPr>
      <w:r w:rsidRPr="00A77C0E">
        <w:t>Neskladja s predpisi pri prevzemanju in plačevanju obveznosti iz proračuna:</w:t>
      </w:r>
    </w:p>
    <w:p w14:paraId="6F0B2A9E" w14:textId="77777777" w:rsidR="00EE6229" w:rsidRPr="00A77C0E" w:rsidRDefault="00EE6229" w:rsidP="00EE6229">
      <w:pPr>
        <w:pStyle w:val="RSnatevanje"/>
        <w:keepLines w:val="0"/>
        <w:numPr>
          <w:ilvl w:val="0"/>
          <w:numId w:val="31"/>
        </w:numPr>
        <w:spacing w:after="80"/>
      </w:pPr>
      <w:r w:rsidRPr="00A77C0E">
        <w:t xml:space="preserve">Zakon o javnih financah: </w:t>
      </w:r>
      <w:r w:rsidRPr="00A77C0E">
        <w:rPr>
          <w:rFonts w:ascii="Cambria" w:hAnsi="Cambria"/>
        </w:rPr>
        <w:t xml:space="preserve">sredstva proračuna niso bila uporabljena za financiranje funkcij državnih organov, </w:t>
      </w:r>
      <w:r w:rsidRPr="00A77C0E">
        <w:t xml:space="preserve">pred izplačili nista bila preverjena pravni temelj in višina obveznosti, </w:t>
      </w:r>
      <w:r w:rsidRPr="00A77C0E">
        <w:rPr>
          <w:rFonts w:cs="Arial"/>
          <w:lang w:eastAsia="sl-SI"/>
        </w:rPr>
        <w:t xml:space="preserve">javnim uslužbencem so bile z </w:t>
      </w:r>
      <w:r w:rsidRPr="0084387D">
        <w:t>zagotavljanjem</w:t>
      </w:r>
      <w:r w:rsidRPr="00A77C0E">
        <w:rPr>
          <w:rFonts w:cs="Arial"/>
          <w:lang w:eastAsia="sl-SI"/>
        </w:rPr>
        <w:t xml:space="preserve"> parkirnih mest zagotovljene pravice v večjem obsegu, kot je to določeno z zakonom, podzakonskim predpisom ali s kolektivno pogodbo</w:t>
      </w:r>
      <w:r w:rsidRPr="00A77C0E">
        <w:t xml:space="preserve">; </w:t>
      </w:r>
    </w:p>
    <w:p w14:paraId="1A6EE39D" w14:textId="77777777" w:rsidR="00EE6229" w:rsidRPr="00A77C0E" w:rsidRDefault="00EE6229" w:rsidP="00EE6229">
      <w:pPr>
        <w:pStyle w:val="RSnatevanje"/>
        <w:keepLines w:val="0"/>
        <w:numPr>
          <w:ilvl w:val="0"/>
          <w:numId w:val="31"/>
        </w:numPr>
        <w:spacing w:after="80"/>
      </w:pPr>
      <w:r w:rsidRPr="00A77C0E">
        <w:t>Uredba o uporabi službenih avtomobilov v organih državne uprave: službeno vozilo ni bilo načrtovano v načrtu nabav in gradenj;</w:t>
      </w:r>
    </w:p>
    <w:p w14:paraId="2B1ECD63" w14:textId="77777777" w:rsidR="00EE6229" w:rsidRPr="00A77C0E" w:rsidRDefault="00EE6229" w:rsidP="00EE6229">
      <w:pPr>
        <w:pStyle w:val="RSnatevanje"/>
        <w:keepLines w:val="0"/>
        <w:numPr>
          <w:ilvl w:val="0"/>
          <w:numId w:val="31"/>
        </w:numPr>
        <w:spacing w:after="80"/>
      </w:pPr>
      <w:r w:rsidRPr="00A77C0E">
        <w:t>Pravilnik o enotnem kontnem načrtu za proračun, proračunske uporabnike in druge osebe javnega prava: stroški izdelave projektne dokumentacije so bili evidentirani med tekočimi in ne med investicijskimi odhodki.</w:t>
      </w:r>
    </w:p>
    <w:p w14:paraId="57BA1027" w14:textId="77777777" w:rsidR="00EE6229" w:rsidRPr="00A77C0E" w:rsidRDefault="00EE6229" w:rsidP="00EE6229">
      <w:pPr>
        <w:pStyle w:val="RStekst"/>
      </w:pPr>
      <w:r w:rsidRPr="00A77C0E">
        <w:t>Neskladja s predpisi pri oblikovanju sredstev splošne proračunske rezervacije in prerazporejanju:</w:t>
      </w:r>
    </w:p>
    <w:p w14:paraId="180A830F" w14:textId="77777777" w:rsidR="00EE6229" w:rsidRPr="00A77C0E" w:rsidRDefault="00EE6229" w:rsidP="00EE6229">
      <w:pPr>
        <w:pStyle w:val="RSnatevanje"/>
        <w:keepLines w:val="0"/>
        <w:numPr>
          <w:ilvl w:val="0"/>
          <w:numId w:val="31"/>
        </w:numPr>
        <w:spacing w:after="80"/>
      </w:pPr>
      <w:r w:rsidRPr="00A77C0E">
        <w:t>Zakon o javnih financah: sredstva splošne proračunske r</w:t>
      </w:r>
      <w:r>
        <w:t>ezervacije so bila oblikovana v </w:t>
      </w:r>
      <w:r w:rsidRPr="00A77C0E">
        <w:t xml:space="preserve">previsokem znesku, </w:t>
      </w:r>
      <w:r w:rsidRPr="00A77C0E" w:rsidDel="00091E9C">
        <w:t>prerazporeditve iz splošne proračunske rezervacije na postavke posameznih neposrednih uporabnikov niso predstavljale nepredvidenih namenov ali namenov, za katere sredstva niso bila zagotovljena v zadostnem obsegu, ker jih pri pripravi proračuna ni bilo mogoče načrtovati</w:t>
      </w:r>
      <w:r w:rsidRPr="00A77C0E">
        <w:t>.</w:t>
      </w:r>
    </w:p>
    <w:p w14:paraId="66529696" w14:textId="77777777" w:rsidR="00EE6229" w:rsidRPr="00A77C0E" w:rsidRDefault="00EE6229" w:rsidP="00EE6229">
      <w:pPr>
        <w:pStyle w:val="RStekst"/>
      </w:pPr>
      <w:r w:rsidRPr="00A77C0E">
        <w:t>Neskladja s predpisi o oddaji javnih naročil:</w:t>
      </w:r>
    </w:p>
    <w:p w14:paraId="0967E4EB" w14:textId="77777777" w:rsidR="00EE6229" w:rsidRPr="00A77C0E" w:rsidRDefault="00EE6229" w:rsidP="00EE6229">
      <w:pPr>
        <w:pStyle w:val="RSnatevanje"/>
        <w:keepLines w:val="0"/>
        <w:numPr>
          <w:ilvl w:val="0"/>
          <w:numId w:val="31"/>
        </w:numPr>
        <w:spacing w:after="80"/>
      </w:pPr>
      <w:r w:rsidRPr="00A77C0E">
        <w:t>Zakon o javnem naročanju: z neustrezno določitvijo tehničnih specifikacij je bila onemogočena konkurenca med ponudniki, izbran je bil neustrezen postopek oddaje javnega naročila, izračun ocenjene vrednosti javnega naročila ni temeljil na celotnem plačljivem znesku brez DDV, vključno s katerokoli opcijo in morebitnimi podaljšanji, pred oddajo javnega naročila ni bilo preverjeno, da je ponudbo oddal ponudnik, pri katerem ne obstajajo razlogi za izključitev, obvestila o oddaji javnega naročila so bila prepozno poslana v objavo na portal javnih naročil, izbrani ponudnik ni izkazal izpolnjevanja tehničnih in stro</w:t>
      </w:r>
      <w:r>
        <w:t>kovnih sposobnosti, obvestilo o </w:t>
      </w:r>
      <w:r w:rsidRPr="00A77C0E">
        <w:t>spremembi pogodbe ni bilo objavljeno na portalu javnih naročil, niso bila izvršena neposredna plačila računov podizvajalcem, kljub temu da so bili za to izpolnjeni pogoji, odločitve pri oddaji javnih naročil so bile sprejete prepozno, kandidati obveščeni prepozno oziroma prepozno sklenjene pogodbe</w:t>
      </w:r>
      <w:r w:rsidRPr="00A77C0E">
        <w:rPr>
          <w:lang w:eastAsia="sl-SI"/>
        </w:rPr>
        <w:t>;</w:t>
      </w:r>
    </w:p>
    <w:p w14:paraId="71C5B87A" w14:textId="77777777" w:rsidR="00EE6229" w:rsidRPr="00A77C0E" w:rsidRDefault="00EE6229" w:rsidP="00EE6229">
      <w:pPr>
        <w:pStyle w:val="RSnatevanje"/>
        <w:keepLines w:val="0"/>
        <w:numPr>
          <w:ilvl w:val="0"/>
          <w:numId w:val="31"/>
        </w:numPr>
        <w:spacing w:after="80"/>
      </w:pPr>
      <w:r w:rsidRPr="00A77C0E">
        <w:t>Pravilnik o postopkih za izvrševanje proračuna Republike Slovenije: pogodbe oziroma aneksi so bili sklenjeni po začetku opravljanja storitev.</w:t>
      </w:r>
    </w:p>
    <w:p w14:paraId="4943077F" w14:textId="77777777" w:rsidR="00EE6229" w:rsidRPr="00A77C0E" w:rsidRDefault="00EE6229" w:rsidP="00EE6229">
      <w:pPr>
        <w:pStyle w:val="RStekst"/>
      </w:pPr>
      <w:r w:rsidRPr="00A77C0E">
        <w:lastRenderedPageBreak/>
        <w:t>Neskladja s predpisi pri dodeljevanju transferov:</w:t>
      </w:r>
    </w:p>
    <w:p w14:paraId="2B83719F" w14:textId="77777777" w:rsidR="00EE6229" w:rsidRPr="00A77C0E" w:rsidRDefault="00EE6229" w:rsidP="00EE6229">
      <w:pPr>
        <w:pStyle w:val="RSnatevanje"/>
        <w:keepLines w:val="0"/>
        <w:numPr>
          <w:ilvl w:val="0"/>
          <w:numId w:val="31"/>
        </w:numPr>
        <w:spacing w:after="80"/>
      </w:pPr>
      <w:r w:rsidRPr="00A77C0E">
        <w:t>Zakon o javnih financah: sredstva proračuna niso bila uporabljena za izvajanje nalog državnih organov ter v višini, ki je nujna za delovanje in izvajanje njihovih nalog in programov, obveznosti niso bile prevzete s pisno pogodbo, ni bil izvajan ustrezen nadzor nad poslovanjem pravnih oseb, nista bili upoštevani načeli učinkovitosti in gospodarnosti, z aneksom je bila dogovorjena odpoved pravici do ugovora proti uveljavljanju terjatev iz denarnega nadomestila;</w:t>
      </w:r>
    </w:p>
    <w:p w14:paraId="6CAABC79" w14:textId="77777777" w:rsidR="00EE6229" w:rsidRPr="00A77C0E" w:rsidRDefault="00EE6229" w:rsidP="00EE6229">
      <w:pPr>
        <w:pStyle w:val="RSnatevanje"/>
        <w:keepLines w:val="0"/>
        <w:numPr>
          <w:ilvl w:val="0"/>
          <w:numId w:val="31"/>
        </w:numPr>
        <w:spacing w:after="80"/>
      </w:pPr>
      <w:r w:rsidRPr="00A77C0E">
        <w:t>Zakon o izvrševanju proračunov Republike Slovenije za leti 2022 in 2023 in Zakon o izvrševanju proračunov Republike Slovenije za leti 2021 in 2022: izhodišča za pripravo finančnega načrta so bila posrednemu proračunskemu uporabniku posredovana prepozno oziroma niso bila posredovana, obveznosti v breme proračuna so bile prepozno plačane, pristojno ministrstvo programa dela ni zavrnilo, kljub temu da ni bil pripravljen v skladu z izhodišči ministrstva;</w:t>
      </w:r>
    </w:p>
    <w:p w14:paraId="6D0D5462" w14:textId="77777777" w:rsidR="00EE6229" w:rsidRPr="00A77C0E" w:rsidRDefault="00EE6229" w:rsidP="00EE6229">
      <w:pPr>
        <w:pStyle w:val="RSnatevanje"/>
        <w:keepLines w:val="0"/>
        <w:numPr>
          <w:ilvl w:val="0"/>
          <w:numId w:val="31"/>
        </w:numPr>
        <w:spacing w:after="80"/>
      </w:pPr>
      <w:r w:rsidRPr="00A77C0E">
        <w:t xml:space="preserve">Zakon o dodatnih ukrepih za preprečevanje širjenja, omilitev, obvladovanje, </w:t>
      </w:r>
      <w:r w:rsidRPr="00EC393D">
        <w:t>okrevanje</w:t>
      </w:r>
      <w:r w:rsidRPr="00A77C0E">
        <w:t xml:space="preserve"> in odpravo posledic COVID-19: pred izplačili zahtevkov se ni ugotavljalo upravičenosti do sredstev na podlagi predloženih dokazil;</w:t>
      </w:r>
    </w:p>
    <w:p w14:paraId="336B1921" w14:textId="77777777" w:rsidR="00EE6229" w:rsidRPr="00A77C0E" w:rsidRDefault="00EE6229" w:rsidP="00EE6229">
      <w:pPr>
        <w:pStyle w:val="RSnatevanje"/>
        <w:keepLines w:val="0"/>
        <w:numPr>
          <w:ilvl w:val="0"/>
          <w:numId w:val="31"/>
        </w:numPr>
        <w:spacing w:after="80"/>
      </w:pPr>
      <w:r w:rsidRPr="00A77C0E">
        <w:t xml:space="preserve">Zakon o osebni asistenci: ni bil izvajan ustrezen nadzor nad izvajanjem osebne asistence; </w:t>
      </w:r>
    </w:p>
    <w:p w14:paraId="2EAFE5A0" w14:textId="77777777" w:rsidR="00EE6229" w:rsidRPr="00A77C0E" w:rsidRDefault="00EE6229" w:rsidP="00EE6229">
      <w:pPr>
        <w:pStyle w:val="RSnatevanje"/>
        <w:keepLines w:val="0"/>
        <w:numPr>
          <w:ilvl w:val="0"/>
          <w:numId w:val="31"/>
        </w:numPr>
        <w:spacing w:after="80"/>
      </w:pPr>
      <w:r w:rsidRPr="00A77C0E">
        <w:t xml:space="preserve">Zakon o splošnem upravnem postopku: odločbe o napredovanju strokovnih delavcev so bile izdane prepozno; </w:t>
      </w:r>
    </w:p>
    <w:p w14:paraId="2D08EE69" w14:textId="77777777" w:rsidR="00EE6229" w:rsidRPr="00A77C0E" w:rsidRDefault="00EE6229" w:rsidP="00EE6229">
      <w:pPr>
        <w:pStyle w:val="RSnatevanje"/>
        <w:keepLines w:val="0"/>
        <w:numPr>
          <w:ilvl w:val="0"/>
          <w:numId w:val="27"/>
        </w:numPr>
        <w:spacing w:after="80"/>
      </w:pPr>
      <w:r w:rsidRPr="00A77C0E">
        <w:t>Zakon o vojnih veteranih: niso bile uporabljene in hranjene evidence vojnih veteranov</w:t>
      </w:r>
      <w:r w:rsidRPr="00A77C0E">
        <w:rPr>
          <w:lang w:eastAsia="sl-SI"/>
        </w:rPr>
        <w:t>;</w:t>
      </w:r>
    </w:p>
    <w:p w14:paraId="4AAF1054" w14:textId="77777777" w:rsidR="00EE6229" w:rsidRPr="00A77C0E" w:rsidRDefault="00EE6229" w:rsidP="00EE6229">
      <w:pPr>
        <w:pStyle w:val="RSnatevanje"/>
        <w:keepLines w:val="0"/>
        <w:numPr>
          <w:ilvl w:val="0"/>
          <w:numId w:val="27"/>
        </w:numPr>
        <w:spacing w:after="80"/>
      </w:pPr>
      <w:r w:rsidRPr="00A77C0E">
        <w:t>Zakon o vojnih invalidih: niso bile uporabljene in hranjene evidence vojnih invalidov;</w:t>
      </w:r>
    </w:p>
    <w:p w14:paraId="39124CB8" w14:textId="77777777" w:rsidR="00EE6229" w:rsidRPr="00A77C0E" w:rsidRDefault="00EE6229" w:rsidP="00EE6229">
      <w:pPr>
        <w:pStyle w:val="RSnatevanje"/>
        <w:keepLines w:val="0"/>
        <w:numPr>
          <w:ilvl w:val="0"/>
          <w:numId w:val="27"/>
        </w:numPr>
        <w:spacing w:after="80"/>
      </w:pPr>
      <w:r w:rsidRPr="00A77C0E">
        <w:t>Zakon o žrtvah vojnega nasilja: niso bile uporabljene in hranjene evidence žrtev vojnega nasilja;</w:t>
      </w:r>
    </w:p>
    <w:p w14:paraId="0E15FF65" w14:textId="77777777" w:rsidR="00EE6229" w:rsidRPr="00A77C0E" w:rsidRDefault="00EE6229" w:rsidP="00EE6229">
      <w:pPr>
        <w:pStyle w:val="RSnatevanje"/>
        <w:keepLines w:val="0"/>
        <w:numPr>
          <w:ilvl w:val="0"/>
          <w:numId w:val="27"/>
        </w:numPr>
        <w:spacing w:after="80"/>
      </w:pPr>
      <w:r w:rsidRPr="00A77C0E">
        <w:t>Uredba o postopku, merilih in načinih dodeljevanja sredstev za spodbujanje razvojnih programov in prednostnih nalog: izbrani prijavitelji niso bili pravočasno pozvani k sklenitvi pogodbe;</w:t>
      </w:r>
    </w:p>
    <w:p w14:paraId="7CF38347" w14:textId="77777777" w:rsidR="00EE6229" w:rsidRPr="00A77C0E" w:rsidRDefault="00EE6229" w:rsidP="00EE6229">
      <w:pPr>
        <w:pStyle w:val="RSnatevanje"/>
        <w:keepLines w:val="0"/>
        <w:numPr>
          <w:ilvl w:val="0"/>
          <w:numId w:val="31"/>
        </w:numPr>
        <w:spacing w:after="80"/>
        <w:rPr>
          <w:lang w:eastAsia="sl-SI"/>
        </w:rPr>
      </w:pPr>
      <w:r w:rsidRPr="00A77C0E">
        <w:t>Uredba (ES) št. 1370/2007 Evropskega parlamenta in Sveta z dne 23. oktobra 2007 o javnih storitvah železniškega in cestnega potniškega prevoza ter o razveljavitvi uredb Sveta (EGS) št. 1191/69 in št. 1107/70: koncesijsko razmerje za opravljanje gospodarske javne službe javni linijski prevoz potnikov v notranjem cestnem prometu je bilo podaljšano za daljše obdobje, kot je dopuščala uredba.</w:t>
      </w:r>
    </w:p>
    <w:p w14:paraId="250046D6" w14:textId="77777777" w:rsidR="00EE6229" w:rsidRPr="00A77C0E" w:rsidRDefault="00EE6229" w:rsidP="00EE6229">
      <w:pPr>
        <w:pStyle w:val="RStekst"/>
      </w:pPr>
      <w:r w:rsidRPr="00A77C0E">
        <w:t>Neskladja s predpisi na področju pridobivanja prihodkov državnega proračuna:</w:t>
      </w:r>
    </w:p>
    <w:p w14:paraId="16AA45F4" w14:textId="77777777" w:rsidR="00EE6229" w:rsidRPr="00A77C0E" w:rsidRDefault="00EE6229" w:rsidP="00EE6229">
      <w:pPr>
        <w:pStyle w:val="RSnatevanje"/>
        <w:keepLines w:val="0"/>
        <w:numPr>
          <w:ilvl w:val="0"/>
          <w:numId w:val="31"/>
        </w:numPr>
        <w:spacing w:after="80"/>
      </w:pPr>
      <w:r w:rsidRPr="00A77C0E">
        <w:rPr>
          <w:shd w:val="clear" w:color="auto" w:fill="FFFFFF" w:themeFill="background1"/>
        </w:rPr>
        <w:t>Zakon o javnih financah: ni bilo zagotovljeno, da so najemnine od oddaje stvarnega premoženja države v najem prihodek proračuna države,</w:t>
      </w:r>
      <w:r w:rsidRPr="00A77C0E">
        <w:rPr>
          <w:bCs/>
          <w:shd w:val="clear" w:color="auto" w:fill="FFFFFF" w:themeFill="background1"/>
        </w:rPr>
        <w:t xml:space="preserve"> v proračunu niso bili izkazani vsi prejemki, ki pripadajo državi, ter vsi izdatki države za posamezne</w:t>
      </w:r>
      <w:r w:rsidRPr="00A77C0E">
        <w:rPr>
          <w:bCs/>
        </w:rPr>
        <w:t xml:space="preserve"> namene;</w:t>
      </w:r>
    </w:p>
    <w:p w14:paraId="1D4A5CB0" w14:textId="77777777" w:rsidR="00EE6229" w:rsidRPr="00A77C0E" w:rsidRDefault="00EE6229" w:rsidP="00EE6229">
      <w:pPr>
        <w:pStyle w:val="RSnatevanje"/>
        <w:keepLines w:val="0"/>
        <w:numPr>
          <w:ilvl w:val="0"/>
          <w:numId w:val="31"/>
        </w:numPr>
        <w:spacing w:after="80"/>
      </w:pPr>
      <w:r w:rsidRPr="00A77C0E">
        <w:t>Zakon o računovodstvu: niso bila izkazana vsa sredstva, ki jih je Republika Slovenija pridobila v lastništvo ob prenehanju obstoja družbe Center za avtohtone sorte semen, d.o.o., Loka pri Mengšu;</w:t>
      </w:r>
    </w:p>
    <w:p w14:paraId="48D28482" w14:textId="77777777" w:rsidR="00EE6229" w:rsidRPr="00A77C0E" w:rsidRDefault="00EE6229" w:rsidP="00EE6229">
      <w:pPr>
        <w:pStyle w:val="RSnatevanje"/>
        <w:keepLines w:val="0"/>
        <w:numPr>
          <w:ilvl w:val="0"/>
          <w:numId w:val="31"/>
        </w:numPr>
        <w:spacing w:after="80"/>
      </w:pPr>
      <w:r w:rsidRPr="00A77C0E">
        <w:t>Zakon o vodah: Vlada Republike Slovenije ni predpisala podrobnejših meril za določitev roka, načina in višine plačila za vodno pravico in meril za njegovo znižanje ter oprostitev za primere, ko je vodna pravica pridobljena na podlagi vodnega dovoljenja;</w:t>
      </w:r>
    </w:p>
    <w:p w14:paraId="4F324E63" w14:textId="77777777" w:rsidR="00EE6229" w:rsidRPr="00A77C0E" w:rsidRDefault="00EE6229" w:rsidP="00EE6229">
      <w:pPr>
        <w:pStyle w:val="RSnatevanje"/>
        <w:keepLines w:val="0"/>
        <w:numPr>
          <w:ilvl w:val="0"/>
          <w:numId w:val="31"/>
        </w:numPr>
        <w:spacing w:after="80"/>
      </w:pPr>
      <w:r w:rsidRPr="00A77C0E">
        <w:lastRenderedPageBreak/>
        <w:t>Zakon o izgradnji, upravljanju in gospodarjenju z drugim tirom železniške proge Divača–Koper: zbrana namenska sredstva niso bila vložena v osnovni kapital družbe 2TDK, d.o.o. v zakonsko določenem roku;</w:t>
      </w:r>
    </w:p>
    <w:p w14:paraId="57F5F9AA" w14:textId="77777777" w:rsidR="00EE6229" w:rsidRPr="00A77C0E" w:rsidRDefault="00EE6229" w:rsidP="00EE6229">
      <w:pPr>
        <w:keepLines/>
        <w:widowControl/>
        <w:numPr>
          <w:ilvl w:val="0"/>
          <w:numId w:val="28"/>
        </w:numPr>
        <w:adjustRightInd w:val="0"/>
        <w:snapToGrid w:val="0"/>
        <w:spacing w:before="0" w:line="280" w:lineRule="exact"/>
        <w:contextualSpacing w:val="0"/>
        <w:jc w:val="both"/>
        <w:rPr>
          <w:rFonts w:asciiTheme="minorHAnsi" w:hAnsiTheme="minorHAnsi"/>
          <w:sz w:val="20"/>
        </w:rPr>
      </w:pPr>
      <w:r w:rsidRPr="00A77C0E">
        <w:rPr>
          <w:rFonts w:asciiTheme="minorHAnsi" w:hAnsiTheme="minorHAnsi"/>
          <w:sz w:val="20"/>
        </w:rPr>
        <w:t>Zakon o investicijah v javne zdravstvene zavode, katerih ustanovitelj je Republika Slovenija: ni bilo zagotovljeno, da bi bile najemnine, ki so jih zaračunali in prejeli javni zdravstveni zavodi, nakazane v proračun in izkazane kot prihodki proračuna in da bi se za ta sredstva oblikoval proračunski sklad.</w:t>
      </w:r>
    </w:p>
    <w:p w14:paraId="1277D676" w14:textId="77777777" w:rsidR="00EE6229" w:rsidRDefault="00EE6229" w:rsidP="00EE6229">
      <w:pPr>
        <w:pStyle w:val="RStekst"/>
      </w:pPr>
      <w:r w:rsidRPr="00A77C0E">
        <w:t xml:space="preserve">Vlada Republike Slovenije, Ministrstvo za zdravje in Ministrstvo za pravosodje med izvajanjem revizije niso odpravili vseh nepravilnosti, zato je računsko sodišče od njih zahtevalo </w:t>
      </w:r>
      <w:r w:rsidRPr="00A77C0E">
        <w:rPr>
          <w:b/>
        </w:rPr>
        <w:t xml:space="preserve">predložitev odzivnih poročil, </w:t>
      </w:r>
      <w:r w:rsidRPr="00A77C0E">
        <w:t xml:space="preserve">Vladi Republike Slovenije, Ministrstvu za finance in Ministrstvu za kohezijo in regionalni razvoj pa je podalo tudi </w:t>
      </w:r>
      <w:r w:rsidRPr="00A77C0E">
        <w:rPr>
          <w:b/>
        </w:rPr>
        <w:t>priporočila</w:t>
      </w:r>
      <w:r w:rsidRPr="00A77C0E">
        <w:t xml:space="preserve"> za izboljšanje poslovanja.</w:t>
      </w:r>
    </w:p>
    <w:p w14:paraId="21CC44C3" w14:textId="3595EFFF" w:rsidR="003D1FAE" w:rsidRDefault="003D1FAE" w:rsidP="003D1FAE">
      <w:pPr>
        <w:pStyle w:val="RStekst"/>
      </w:pPr>
    </w:p>
    <w:p w14:paraId="35897DF7" w14:textId="132B1A81" w:rsidR="008629A2" w:rsidRDefault="008629A2" w:rsidP="008629A2">
      <w:pPr>
        <w:pStyle w:val="RStekst"/>
      </w:pPr>
      <w:r>
        <w:t xml:space="preserve">Ljubljana, </w:t>
      </w:r>
      <w:r w:rsidR="00151D3D">
        <w:t>25</w:t>
      </w:r>
      <w:bookmarkStart w:id="0" w:name="_GoBack"/>
      <w:bookmarkEnd w:id="0"/>
      <w:r w:rsidR="00EE6229" w:rsidRPr="00EE6229">
        <w:t>. avgusta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AFA463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151D3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47618D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51D3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864B2"/>
    <w:multiLevelType w:val="hybridMultilevel"/>
    <w:tmpl w:val="816A2D0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1"/>
  </w:num>
  <w:num w:numId="3">
    <w:abstractNumId w:val="20"/>
    <w:lvlOverride w:ilvl="0">
      <w:startOverride w:val="1"/>
    </w:lvlOverride>
  </w:num>
  <w:num w:numId="4">
    <w:abstractNumId w:val="24"/>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 w:numId="2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tentative="1">
        <w:start w:val="1"/>
        <w:numFmt w:val="lowerLetter"/>
        <w:lvlText w:val="%2."/>
        <w:lvlJc w:val="left"/>
        <w:pPr>
          <w:ind w:left="1440" w:hanging="360"/>
        </w:pPr>
      </w:lvl>
    </w:lvlOverride>
    <w:lvlOverride w:ilvl="2">
      <w:lvl w:ilvl="2" w:tplc="88B61D72" w:tentative="1">
        <w:start w:val="1"/>
        <w:numFmt w:val="lowerRoman"/>
        <w:lvlText w:val="%3."/>
        <w:lvlJc w:val="right"/>
        <w:pPr>
          <w:ind w:left="2160" w:hanging="180"/>
        </w:pPr>
      </w:lvl>
    </w:lvlOverride>
    <w:lvlOverride w:ilvl="3">
      <w:lvl w:ilvl="3" w:tplc="0D0A8F62" w:tentative="1">
        <w:start w:val="1"/>
        <w:numFmt w:val="decimal"/>
        <w:lvlText w:val="%4."/>
        <w:lvlJc w:val="left"/>
        <w:pPr>
          <w:ind w:left="2880" w:hanging="360"/>
        </w:pPr>
      </w:lvl>
    </w:lvlOverride>
    <w:lvlOverride w:ilvl="4">
      <w:lvl w:ilvl="4" w:tplc="1FD6CA60" w:tentative="1">
        <w:start w:val="1"/>
        <w:numFmt w:val="lowerLetter"/>
        <w:lvlText w:val="%5."/>
        <w:lvlJc w:val="left"/>
        <w:pPr>
          <w:ind w:left="3600" w:hanging="360"/>
        </w:pPr>
      </w:lvl>
    </w:lvlOverride>
    <w:lvlOverride w:ilvl="5">
      <w:lvl w:ilvl="5" w:tplc="642C6B28" w:tentative="1">
        <w:start w:val="1"/>
        <w:numFmt w:val="lowerRoman"/>
        <w:lvlText w:val="%6."/>
        <w:lvlJc w:val="right"/>
        <w:pPr>
          <w:ind w:left="4320" w:hanging="180"/>
        </w:pPr>
      </w:lvl>
    </w:lvlOverride>
    <w:lvlOverride w:ilvl="6">
      <w:lvl w:ilvl="6" w:tplc="3F24B008" w:tentative="1">
        <w:start w:val="1"/>
        <w:numFmt w:val="decimal"/>
        <w:lvlText w:val="%7."/>
        <w:lvlJc w:val="left"/>
        <w:pPr>
          <w:ind w:left="5040" w:hanging="360"/>
        </w:pPr>
      </w:lvl>
    </w:lvlOverride>
    <w:lvlOverride w:ilvl="7">
      <w:lvl w:ilvl="7" w:tplc="BC9E6C8E" w:tentative="1">
        <w:start w:val="1"/>
        <w:numFmt w:val="lowerLetter"/>
        <w:lvlText w:val="%8."/>
        <w:lvlJc w:val="left"/>
        <w:pPr>
          <w:ind w:left="5760" w:hanging="360"/>
        </w:pPr>
      </w:lvl>
    </w:lvlOverride>
    <w:lvlOverride w:ilvl="8">
      <w:lvl w:ilvl="8" w:tplc="26F00E9C" w:tentative="1">
        <w:start w:val="1"/>
        <w:numFmt w:val="lowerRoman"/>
        <w:lvlText w:val="%9."/>
        <w:lvlJc w:val="right"/>
        <w:pPr>
          <w:ind w:left="6480" w:hanging="180"/>
        </w:pPr>
      </w:lvl>
    </w:lvlOverride>
  </w:num>
  <w:num w:numId="30">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
        <w:lvlJc w:val="left"/>
        <w:pPr>
          <w:tabs>
            <w:tab w:val="num" w:pos="397"/>
          </w:tabs>
          <w:ind w:left="794" w:hanging="397"/>
        </w:pPr>
        <w:rPr>
          <w:rFonts w:ascii="Symbol" w:hAnsi="Symbol" w:hint="default"/>
          <w:color w:val="auto"/>
        </w:rPr>
      </w:lvl>
    </w:lvlOverride>
    <w:lvlOverride w:ilvl="2">
      <w:lvl w:ilvl="2" w:tplc="88B61D72">
        <w:start w:val="1"/>
        <w:numFmt w:val="bullet"/>
        <w:lvlText w:val="–"/>
        <w:lvlJc w:val="left"/>
        <w:pPr>
          <w:tabs>
            <w:tab w:val="num" w:pos="794"/>
          </w:tabs>
          <w:ind w:left="1191" w:hanging="397"/>
        </w:pPr>
        <w:rPr>
          <w:rFonts w:ascii="Cambria" w:hAnsi="Cambria" w:hint="default"/>
          <w:color w:val="auto"/>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51D3D"/>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E6229"/>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uiPriority w:val="1"/>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rsid w:val="00EE6229"/>
    <w:pPr>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2023-08-21T08:42:00Z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