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0949252F" w:rsidR="008629A2" w:rsidRPr="00F4569E" w:rsidRDefault="008629A2" w:rsidP="008629A2">
      <w:pPr>
        <w:pStyle w:val="RSGLAVNINASLOV"/>
        <w:rPr>
          <w:spacing w:val="-2"/>
        </w:rPr>
      </w:pPr>
      <w:r w:rsidRPr="009176A9">
        <w:rPr>
          <w:spacing w:val="-2"/>
        </w:rPr>
        <w:t xml:space="preserve">Povzetek revizijskega poročila </w:t>
      </w:r>
      <w:r w:rsidR="0054475F">
        <w:rPr>
          <w:spacing w:val="-2"/>
        </w:rPr>
        <w:br/>
      </w:r>
      <w:r w:rsidR="0054475F" w:rsidRPr="0054475F">
        <w:rPr>
          <w:spacing w:val="-2"/>
        </w:rPr>
        <w:t>Zmanjševanje tveganj za pojav bega možganov v Sloveniji</w:t>
      </w:r>
    </w:p>
    <w:p w14:paraId="4746526C" w14:textId="77777777" w:rsidR="00D564CE" w:rsidRPr="00BF5D76" w:rsidRDefault="00D564CE" w:rsidP="00D564CE">
      <w:pPr>
        <w:pStyle w:val="RStekst"/>
        <w:rPr>
          <w:rFonts w:ascii="Cambria" w:hAnsi="Cambria"/>
          <w:spacing w:val="-2"/>
        </w:rPr>
      </w:pPr>
      <w:r w:rsidRPr="00BF5D76">
        <w:t xml:space="preserve">Računsko sodišče je izvedlo revizijo, da bi preverilo, ali so bili </w:t>
      </w:r>
      <w:r w:rsidRPr="00BF5D76">
        <w:rPr>
          <w:rFonts w:ascii="Cambria" w:hAnsi="Cambria"/>
          <w:b/>
          <w:szCs w:val="22"/>
        </w:rPr>
        <w:t xml:space="preserve">Vlada Republike Slovenije </w:t>
      </w:r>
      <w:r>
        <w:rPr>
          <w:rFonts w:ascii="Cambria" w:hAnsi="Cambria"/>
          <w:szCs w:val="22"/>
        </w:rPr>
        <w:t>(v </w:t>
      </w:r>
      <w:r w:rsidRPr="00BF5D76">
        <w:rPr>
          <w:rFonts w:ascii="Cambria" w:hAnsi="Cambria"/>
          <w:szCs w:val="22"/>
        </w:rPr>
        <w:t xml:space="preserve">nadaljevanju: vlada), </w:t>
      </w:r>
      <w:r w:rsidRPr="00BF5D76">
        <w:rPr>
          <w:rFonts w:ascii="Cambria" w:hAnsi="Cambria"/>
          <w:b/>
        </w:rPr>
        <w:t>Ministrstvo za delo, družino, socialne zadeve in enake možnosti</w:t>
      </w:r>
      <w:r>
        <w:rPr>
          <w:rFonts w:ascii="Cambria" w:hAnsi="Cambria"/>
        </w:rPr>
        <w:t xml:space="preserve"> (v </w:t>
      </w:r>
      <w:r w:rsidRPr="00BF5D76">
        <w:rPr>
          <w:rFonts w:ascii="Cambria" w:hAnsi="Cambria"/>
        </w:rPr>
        <w:t xml:space="preserve">nadaljevanju: MDDSZ), </w:t>
      </w:r>
      <w:r w:rsidRPr="00BF5D76">
        <w:rPr>
          <w:rFonts w:ascii="Cambria" w:hAnsi="Cambria"/>
          <w:b/>
          <w:szCs w:val="22"/>
        </w:rPr>
        <w:t>Ministrstvo za gospodarski razvoj in tehnologijo</w:t>
      </w:r>
      <w:r w:rsidRPr="00BF5D76">
        <w:rPr>
          <w:rFonts w:ascii="Cambria" w:hAnsi="Cambria"/>
          <w:szCs w:val="22"/>
        </w:rPr>
        <w:t xml:space="preserve"> (v nadaljevanju: MGRT) in </w:t>
      </w:r>
      <w:r w:rsidRPr="00BF5D76">
        <w:rPr>
          <w:rFonts w:ascii="Cambria" w:hAnsi="Cambria"/>
          <w:b/>
          <w:szCs w:val="22"/>
        </w:rPr>
        <w:t>Ministrstvo za izobraževanje, znanost in šport</w:t>
      </w:r>
      <w:r w:rsidRPr="00BF5D76">
        <w:rPr>
          <w:rFonts w:ascii="Cambria" w:hAnsi="Cambria"/>
        </w:rPr>
        <w:t xml:space="preserve"> (v nadaljevanju: MIZŠ) </w:t>
      </w:r>
      <w:r w:rsidRPr="00BF5D76">
        <w:t>učinkoviti pri izvajanju aktivnosti</w:t>
      </w:r>
      <w:r w:rsidRPr="00BF5D76">
        <w:rPr>
          <w:rFonts w:ascii="Cambria" w:hAnsi="Cambria"/>
          <w:szCs w:val="22"/>
        </w:rPr>
        <w:t xml:space="preserve">, usmerjenih v zmanjševanje tveganj za pojav bega možganov v Republiki Sloveniji v obdobju od </w:t>
      </w:r>
      <w:r w:rsidRPr="00BF5D76">
        <w:rPr>
          <w:rFonts w:ascii="Cambria" w:hAnsi="Cambria" w:cs="Garamond"/>
          <w:color w:val="000000"/>
          <w:szCs w:val="22"/>
        </w:rPr>
        <w:t>1. 1. 2010 do 31. 12. 2021</w:t>
      </w:r>
      <w:r w:rsidRPr="00BF5D76">
        <w:rPr>
          <w:rFonts w:ascii="Cambria" w:hAnsi="Cambria"/>
          <w:spacing w:val="-2"/>
        </w:rPr>
        <w:t>.</w:t>
      </w:r>
    </w:p>
    <w:p w14:paraId="6FD4DDB6" w14:textId="77777777" w:rsidR="00D564CE" w:rsidRPr="00BF5D76" w:rsidRDefault="00D564CE" w:rsidP="00D564CE">
      <w:pPr>
        <w:pStyle w:val="RStekst"/>
        <w:rPr>
          <w:szCs w:val="22"/>
        </w:rPr>
      </w:pPr>
      <w:r w:rsidRPr="00BF5D76">
        <w:rPr>
          <w:szCs w:val="22"/>
        </w:rPr>
        <w:t xml:space="preserve">Računsko sodišče je izreklo mnenje, da so bili vlada, MDDSZ, MGRT in MIZŠ v obdobju, na katero se </w:t>
      </w:r>
      <w:r w:rsidRPr="0054475F">
        <w:rPr>
          <w:szCs w:val="22"/>
        </w:rPr>
        <w:t xml:space="preserve">nanaša revizija, </w:t>
      </w:r>
      <w:r w:rsidRPr="0054475F">
        <w:rPr>
          <w:b/>
          <w:szCs w:val="22"/>
        </w:rPr>
        <w:t>delno učinkoviti</w:t>
      </w:r>
      <w:r w:rsidRPr="0054475F">
        <w:rPr>
          <w:szCs w:val="22"/>
        </w:rPr>
        <w:t xml:space="preserve"> pri izvajanju </w:t>
      </w:r>
      <w:r w:rsidRPr="0054475F">
        <w:t>aktivnosti</w:t>
      </w:r>
      <w:r w:rsidRPr="0054475F">
        <w:rPr>
          <w:rFonts w:ascii="Cambria" w:hAnsi="Cambria"/>
          <w:szCs w:val="22"/>
        </w:rPr>
        <w:t xml:space="preserve">, usmerjenih v zmanjševanje tveganj za </w:t>
      </w:r>
      <w:r w:rsidRPr="00BF5D76">
        <w:rPr>
          <w:rFonts w:ascii="Cambria" w:hAnsi="Cambria"/>
          <w:szCs w:val="22"/>
        </w:rPr>
        <w:t>pojav bega možganov v Republiki Sloveniji</w:t>
      </w:r>
      <w:r w:rsidRPr="00BF5D76">
        <w:rPr>
          <w:szCs w:val="22"/>
        </w:rPr>
        <w:t>.</w:t>
      </w:r>
    </w:p>
    <w:p w14:paraId="544A7F36" w14:textId="77777777" w:rsidR="00D564CE" w:rsidRPr="00BF5D76" w:rsidRDefault="00D564CE" w:rsidP="00D564CE">
      <w:pPr>
        <w:pStyle w:val="RStekst"/>
        <w:rPr>
          <w:rFonts w:ascii="Cambria" w:hAnsi="Cambria"/>
        </w:rPr>
      </w:pPr>
      <w:r w:rsidRPr="00BF5D76">
        <w:rPr>
          <w:szCs w:val="22"/>
        </w:rPr>
        <w:t xml:space="preserve">Pojem beg možganov se je uveljavil na področju obravnavanja ekonomskih selitev z vidika države izselitve kot trajno odhajanje izobraženega kadra na delo v tujino. </w:t>
      </w:r>
      <w:r w:rsidRPr="00BF5D76">
        <w:t xml:space="preserve">Poenotene definicije pojma beg možganov sicer ni. </w:t>
      </w:r>
    </w:p>
    <w:p w14:paraId="48FF0A44" w14:textId="77777777" w:rsidR="00D564CE" w:rsidRPr="00BF5D76" w:rsidRDefault="00D564CE" w:rsidP="00D564CE">
      <w:pPr>
        <w:pStyle w:val="RStekst"/>
      </w:pPr>
      <w:r w:rsidRPr="00BF5D76">
        <w:t xml:space="preserve">Pojav bega možganov je za države, iz katerih poteka emigracija, mednarodno identificiran kot negativen pojav, saj se iz gospodarstev izteka človeški </w:t>
      </w:r>
      <w:r w:rsidRPr="00430413">
        <w:t>kapital</w:t>
      </w:r>
      <w:r w:rsidRPr="00BF5D76">
        <w:t xml:space="preserve"> kot strateški in razvojni vir, hkrati pa izvorna država izgublja sredstva, ki so bila vložena v izobraževanje emigrantov. Iz teh razlogov države, iz katerih poteka emigracija, poskušajo pojav spremljati in vplivati na dejavnike, ki pojav povzročajo, ter ga zmanjševati z različnimi ukrepi in tehnikami v okviru področnih politik in politike ekonomskih migracij. Pogoj za ustrezno upravljanje pojava bega možganov pa je, da država pozna lastne potrebe po obsegu in strukturi visokousposobljenih državljanov glede na trg dela in načrtovani razvoj.</w:t>
      </w:r>
    </w:p>
    <w:p w14:paraId="7B39AFC3" w14:textId="77777777" w:rsidR="00D564CE" w:rsidRPr="00BF5D76" w:rsidRDefault="00D564CE" w:rsidP="00D564CE">
      <w:pPr>
        <w:pStyle w:val="RStekst"/>
      </w:pPr>
      <w:r w:rsidRPr="00BF5D76">
        <w:t xml:space="preserve">Usmeritve za migracijsko politiko Republike Slovenije so bile </w:t>
      </w:r>
      <w:r w:rsidRPr="00BF5D76">
        <w:rPr>
          <w:szCs w:val="22"/>
        </w:rPr>
        <w:t xml:space="preserve">v obdobju od </w:t>
      </w:r>
      <w:r w:rsidRPr="00BF5D76">
        <w:rPr>
          <w:rFonts w:cs="Garamond"/>
          <w:color w:val="000000"/>
          <w:szCs w:val="22"/>
        </w:rPr>
        <w:t xml:space="preserve">1. 1. 2010 do 31. 12. 2021 </w:t>
      </w:r>
      <w:r w:rsidRPr="00BF5D76">
        <w:t xml:space="preserve">opredeljene v Resoluciji o migracijski politiki Republike Slovenije iz leta 2002, ki jo je vlada konkretizirala v Strategiji ekonomskih migracij za obdobje od 2010 do 2020 (SEM 10-20) in Strategiji Vlade Republike Slovenije na področju </w:t>
      </w:r>
      <w:r w:rsidRPr="00430413">
        <w:t>migracij</w:t>
      </w:r>
      <w:r w:rsidRPr="00BF5D76">
        <w:t xml:space="preserve"> (Strategija 2019).</w:t>
      </w:r>
    </w:p>
    <w:p w14:paraId="6F18BC9B" w14:textId="77777777" w:rsidR="00D564CE" w:rsidRPr="00BF5D76" w:rsidRDefault="00D564CE" w:rsidP="00D564CE">
      <w:pPr>
        <w:pStyle w:val="RStekst"/>
      </w:pPr>
      <w:r w:rsidRPr="00430413">
        <w:rPr>
          <w:spacing w:val="-2"/>
        </w:rPr>
        <w:t>MDDSZ je bilo v SEM 10-20 določeno kot nosilec področja ekonomskih migracij zaradi tesne povezanosti pojava s trgom dela. Na trg dela močno vplivajo potrebe gospodarstva, struktura in število delovnih mest, posebej tistih z visoko dodano vrednostjo. Potrebne kompetence v kratkoročnem,</w:t>
      </w:r>
      <w:r w:rsidRPr="00BF5D76">
        <w:t xml:space="preserve"> srednjeročnem in dolgoročnem obdobju so podatki, </w:t>
      </w:r>
      <w:r w:rsidRPr="00430413">
        <w:t>ki</w:t>
      </w:r>
      <w:r w:rsidRPr="00BF5D76">
        <w:t xml:space="preserve"> bi jih za učinkovito politiko ekonomskih migracij v okviru svojih pristojnosti moralo prispevati MGRT. Dolgoročne strateško-razvojne potrebe trga dela pa so dejavnik, na katerega naj bi se odzivala tudi izobraževalna politika predvsem v okviru višjega in visokega šolstva </w:t>
      </w:r>
      <w:r w:rsidRPr="00444F6E">
        <w:t>ter znanstvenoraziskovalne dejavnosti, ki so bile v pristojnosti MIZŠ.</w:t>
      </w:r>
      <w:r w:rsidRPr="00BF5D76">
        <w:t xml:space="preserve"> </w:t>
      </w:r>
    </w:p>
    <w:p w14:paraId="23086E63" w14:textId="77777777" w:rsidR="00D564CE" w:rsidRPr="00430413" w:rsidRDefault="00D564CE" w:rsidP="00D564CE">
      <w:pPr>
        <w:pStyle w:val="RStekst"/>
        <w:rPr>
          <w:spacing w:val="-2"/>
        </w:rPr>
      </w:pPr>
      <w:r w:rsidRPr="00430413">
        <w:rPr>
          <w:spacing w:val="-2"/>
        </w:rPr>
        <w:lastRenderedPageBreak/>
        <w:t>Akcijski načrt za SEM 10-20 je bil premalo določen, da bi omogočal učinkovito uresničevanje strategije, poleg tega pa vlada, MDDSZ, MGRT in MIZŠ</w:t>
      </w:r>
      <w:r w:rsidRPr="00430413">
        <w:rPr>
          <w:spacing w:val="-2"/>
          <w:szCs w:val="22"/>
        </w:rPr>
        <w:t xml:space="preserve"> niso zagotovili finančnih sredstev za konkretnejše in intenzivnejše aktivnosti na tem področju</w:t>
      </w:r>
      <w:r w:rsidRPr="00430413">
        <w:rPr>
          <w:spacing w:val="-2"/>
        </w:rPr>
        <w:t>. MDDSZ naj bi poleg izvajanja aktivnosti v okviru svojih pristojnosti skrbelo tudi za spremljanje izvajanja akcijskega načrta in za poročanje o uresničevanju strategij. MDDSZ ni niti kontinuirano spremljalo niti poročalo o uresničevanju SEM 10-20.</w:t>
      </w:r>
    </w:p>
    <w:p w14:paraId="157F8AFC" w14:textId="77777777" w:rsidR="00D564CE" w:rsidRPr="00BF5D76" w:rsidRDefault="00D564CE" w:rsidP="00D564CE">
      <w:pPr>
        <w:pStyle w:val="RStekst"/>
      </w:pPr>
      <w:r w:rsidRPr="00BF5D76">
        <w:t xml:space="preserve">Strategija 2019 je prav tako predvidevala pripravo </w:t>
      </w:r>
      <w:r w:rsidRPr="00430413">
        <w:t>akcijskega</w:t>
      </w:r>
      <w:r w:rsidRPr="00BF5D76">
        <w:t xml:space="preserve"> načrta, ki naj bi ga za področje Steber II</w:t>
      </w:r>
      <w:r>
        <w:t xml:space="preserve"> –</w:t>
      </w:r>
      <w:r w:rsidRPr="00BF5D76">
        <w:t xml:space="preserve"> Zakonite migracije, kamor sodijo tudi ekonomske migracije, pripravilo MDDSZ. MDDSZ akcijskega načrta za področje ekonomskih migracij do </w:t>
      </w:r>
      <w:r w:rsidRPr="00BF5D76">
        <w:rPr>
          <w:rFonts w:cs="Garamond"/>
          <w:color w:val="000000"/>
          <w:szCs w:val="22"/>
        </w:rPr>
        <w:t>31. 12. 2021</w:t>
      </w:r>
      <w:r w:rsidRPr="00BF5D76">
        <w:t xml:space="preserve"> ni pripravilo. </w:t>
      </w:r>
    </w:p>
    <w:p w14:paraId="59038FCE" w14:textId="77777777" w:rsidR="00D564CE" w:rsidRPr="00BF5D76" w:rsidRDefault="00D564CE" w:rsidP="00D564CE">
      <w:pPr>
        <w:pStyle w:val="RStekst"/>
      </w:pPr>
      <w:r w:rsidRPr="00BF5D76">
        <w:t xml:space="preserve">Vlada je v letih 2020 in 2021 ustanovila 2 medresorski delovni </w:t>
      </w:r>
      <w:r w:rsidRPr="00430413">
        <w:t>skupini</w:t>
      </w:r>
      <w:r w:rsidRPr="00BF5D76">
        <w:t xml:space="preserve"> za spremljanje migracij, vendar brez ekonomskih migracij, ukinila pa je medresorsko delovno skupino za pripravo in spremljanje izvajanja Strategije 2019 ter koordinacijo aktivnosti s področja migracij. </w:t>
      </w:r>
    </w:p>
    <w:p w14:paraId="78B0BCC1" w14:textId="77777777" w:rsidR="00D564CE" w:rsidRPr="00BF5D76" w:rsidRDefault="00D564CE" w:rsidP="00D564CE">
      <w:pPr>
        <w:pStyle w:val="RStekst"/>
      </w:pPr>
      <w:r w:rsidRPr="00BF5D76">
        <w:t xml:space="preserve">Pri uresničevanju SEM 10-20 in Strategije 2019 MDDSZ, MGRT in MIZŠ niso aktivno in kontinuirano sodelovali, kar je bilo še posebej izrazito v okviru </w:t>
      </w:r>
      <w:r w:rsidRPr="00430413">
        <w:t>procesa</w:t>
      </w:r>
      <w:r w:rsidRPr="00BF5D76">
        <w:t xml:space="preserve"> priprave in izvajanja projekta Platforma za napovedovanje kompetenc.</w:t>
      </w:r>
    </w:p>
    <w:p w14:paraId="2F464009" w14:textId="77777777" w:rsidR="00D564CE" w:rsidRPr="00BF5D76" w:rsidRDefault="00D564CE" w:rsidP="00D564CE">
      <w:pPr>
        <w:pStyle w:val="RStekst"/>
        <w:rPr>
          <w:rFonts w:ascii="Cambria" w:hAnsi="Cambria"/>
        </w:rPr>
      </w:pPr>
      <w:r w:rsidRPr="00BF5D76">
        <w:rPr>
          <w:rStyle w:val="RStekstitalic"/>
          <w:bCs/>
        </w:rPr>
        <w:t>Z</w:t>
      </w:r>
      <w:r w:rsidRPr="00BF5D76">
        <w:t xml:space="preserve">a Republiko Slovenijo, njen bodoči razvoj, možnost ustvarjanja in dopolnjevanja kakovostnih delovnih mest in </w:t>
      </w:r>
      <w:r w:rsidRPr="00BF5D76">
        <w:rPr>
          <w:rFonts w:ascii="Cambria" w:hAnsi="Cambria"/>
        </w:rPr>
        <w:t>kot pomemben vir informacij za obvladovanje pojava bega možganov v prihodnje</w:t>
      </w:r>
      <w:r w:rsidRPr="00BF5D76">
        <w:t xml:space="preserve"> bi bilo na podlagi sklepa </w:t>
      </w:r>
      <w:r w:rsidRPr="00BF5D76">
        <w:rPr>
          <w:rStyle w:val="RStekstitalic"/>
          <w:i w:val="0"/>
        </w:rPr>
        <w:t>vlade z dne 29. 8. 2019</w:t>
      </w:r>
      <w:r w:rsidRPr="00BF5D76">
        <w:rPr>
          <w:rStyle w:val="RStekstitalic"/>
        </w:rPr>
        <w:t xml:space="preserve"> </w:t>
      </w:r>
      <w:r w:rsidRPr="00BF5D76">
        <w:t>treba vzpostaviti celovit in sistemski pristop pri napovedovanju kompetenc za poklice prihodnosti. MDDSZ bi v sodelovanju z MGRT, MIZŠ in Službo Vlade Republike Slovenije za razvoj in evropsko kohezijsko politiko moralo začeti z aktivnostmi za postavitev platforme za napovedovanje k</w:t>
      </w:r>
      <w:r w:rsidRPr="00BE01DA">
        <w:t>ompeten</w:t>
      </w:r>
      <w:r w:rsidRPr="00BF5D76">
        <w:t xml:space="preserve">c že v letu 2019, a je prvi sestanek z MGRT in MIZŠ sklicalo šele 11 mesecev po tem, ko naj bi se že začelo z aktivnostmi. </w:t>
      </w:r>
      <w:r w:rsidRPr="00BF5D76">
        <w:rPr>
          <w:i/>
        </w:rPr>
        <w:t>S</w:t>
      </w:r>
      <w:r w:rsidRPr="00BF5D76">
        <w:rPr>
          <w:rStyle w:val="RStekstitalic"/>
          <w:i w:val="0"/>
        </w:rPr>
        <w:t>odelovanje med MDDSZ, MGRT in MIZŠ za uresničevanje projekta Platforma za napovedovanje kompetenc je bilo na nizki ravni vse d</w:t>
      </w:r>
      <w:r w:rsidRPr="00BF5D76">
        <w:t xml:space="preserve">o konca obdobja, ki je obravnavano v reviziji. </w:t>
      </w:r>
      <w:r w:rsidRPr="00BF5D76">
        <w:rPr>
          <w:rStyle w:val="RStekstitalic"/>
        </w:rPr>
        <w:t xml:space="preserve"> </w:t>
      </w:r>
    </w:p>
    <w:p w14:paraId="35135FEE" w14:textId="77777777" w:rsidR="00D564CE" w:rsidRPr="00BF5D76" w:rsidRDefault="00D564CE" w:rsidP="00D564CE">
      <w:pPr>
        <w:pStyle w:val="RStekst"/>
      </w:pPr>
      <w:r w:rsidRPr="00BF5D76">
        <w:t>MIZŠ je na področju visokega šolstva in znanosti po koncu obdobja, na katero se nanaša revizija, sprejelo temeljna strateška dokumenta za razvoj visokega šolstva in znanstvenoraziskovalne in inovacijske dejavnosti, ki sledita Evropski uniji v spodbujanju pojava kroženja možganov. V skladu</w:t>
      </w:r>
      <w:r>
        <w:t xml:space="preserve"> z </w:t>
      </w:r>
      <w:r w:rsidRPr="00BF5D76">
        <w:t xml:space="preserve">Resolucijo o nacionalnem programu visokega šolstva do 2030 je kroženje možganov ključni pristop za ohranjanje visokoizobraženih kadrov tudi v Republiki Sloveniji. </w:t>
      </w:r>
    </w:p>
    <w:p w14:paraId="4353EBF4" w14:textId="77777777" w:rsidR="00D564CE" w:rsidRPr="00BF5D76" w:rsidRDefault="00D564CE" w:rsidP="00D564CE">
      <w:pPr>
        <w:pStyle w:val="RStekst"/>
      </w:pPr>
      <w:r w:rsidRPr="00BF5D76">
        <w:t xml:space="preserve">Računsko sodišče ocenjuje, da kroženje možganov lahko predstavlja način zmanjševanja tveganj za pojav bega možganov, vendar le ob predpostavki, da postane država dovolj privlačna za priliv ali reintegracijo visokousposobljenih posameznikov. V primeru, da se ključni dejavniki odbijanja, ki vplivajo na tveganje za pojav bega možganov, ne spremenijo bistveno oziroma ostanejo enaki, kroženje možganov ne more predstavljati učinkovitega pristopa </w:t>
      </w:r>
      <w:r>
        <w:t>za</w:t>
      </w:r>
      <w:r w:rsidRPr="00BF5D76">
        <w:t xml:space="preserve"> ohranjanj</w:t>
      </w:r>
      <w:r>
        <w:t>e</w:t>
      </w:r>
      <w:r w:rsidRPr="00BF5D76">
        <w:t xml:space="preserve"> visokoizobraženih kadrov v Republiki Sloveniji. Dogovor na ravni Evropske unije, da se emigracija znotraj držav Evropske unije obravnava kot kroženje in ne beg, po oceni računskega sodišča dejansko zamegli vpliv dejavnikov odbijanja države izvora in s tem navidezno zmanjša nujnost naslavljanja teh dejavnikov v državi.</w:t>
      </w:r>
    </w:p>
    <w:p w14:paraId="21CC44C3" w14:textId="747AE4EA" w:rsidR="003D1FAE" w:rsidRDefault="00D564CE" w:rsidP="00D564CE">
      <w:pPr>
        <w:pStyle w:val="RStekst"/>
      </w:pPr>
      <w:r w:rsidRPr="00BF5D76">
        <w:t xml:space="preserve">Računsko sodišče je </w:t>
      </w:r>
      <w:r w:rsidRPr="00BF5D76">
        <w:rPr>
          <w:szCs w:val="22"/>
        </w:rPr>
        <w:t>vladi</w:t>
      </w:r>
      <w:r w:rsidRPr="00BF5D76">
        <w:t xml:space="preserve"> podalo </w:t>
      </w:r>
      <w:r w:rsidRPr="00BF5D76">
        <w:rPr>
          <w:b/>
        </w:rPr>
        <w:t>priporočila</w:t>
      </w:r>
      <w:r w:rsidRPr="00BF5D76">
        <w:t xml:space="preserve"> za izboljšanje poslovanja.</w:t>
      </w:r>
    </w:p>
    <w:p w14:paraId="35897DF7" w14:textId="15130EE6" w:rsidR="008629A2" w:rsidRDefault="008629A2" w:rsidP="008629A2">
      <w:pPr>
        <w:pStyle w:val="RStekst"/>
      </w:pPr>
      <w:bookmarkStart w:id="0" w:name="_GoBack"/>
      <w:bookmarkEnd w:id="0"/>
      <w:r>
        <w:t xml:space="preserve">Ljubljana, </w:t>
      </w:r>
      <w:r w:rsidR="00D564CE">
        <w:t>5. aprila 2023</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42FCBBC0"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54475F">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3F2AE412"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54475F">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4475F"/>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564CE"/>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49"/>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0" ma:contentTypeDescription="Create a new document." ma:contentTypeScope="" ma:versionID="9c1c0c954029d9c65a3c30f95878d3fa">
  <xsd:schema xmlns:xsd="http://www.w3.org/2001/XMLSchema" xmlns:xs="http://www.w3.org/2001/XMLSchema" xmlns:p="http://schemas.microsoft.com/office/2006/metadata/properties" targetNamespace="http://schemas.microsoft.com/office/2006/metadata/properties" ma:root="true" ma:fieldsID="ac35be0cfd693321af83a9b73d26a9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E7E129B-96AD-442F-ABB8-CD6E2C25D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5290</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2023-04-03T13:12:00Z</dcterms:created>
  <dcterms:modified xsi:type="dcterms:W3CDTF">2023-04-03T13:13:00Z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