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6DEDAB8" w:rsidR="008629A2" w:rsidRPr="00BB69B4" w:rsidRDefault="008629A2" w:rsidP="008629A2">
      <w:pPr>
        <w:pStyle w:val="RSGLAVNINASLOV"/>
        <w:rPr>
          <w:spacing w:val="-2"/>
        </w:rPr>
      </w:pPr>
      <w:r w:rsidRPr="00BB69B4">
        <w:rPr>
          <w:spacing w:val="-2"/>
        </w:rPr>
        <w:t>Povzetek revizijskega poročila</w:t>
      </w:r>
      <w:r w:rsidR="00BB69B4">
        <w:rPr>
          <w:spacing w:val="-2"/>
        </w:rPr>
        <w:br/>
      </w:r>
      <w:r w:rsidR="00BB69B4">
        <w:t>Pravilnost dela poslovanja Občine Žužemberk</w:t>
      </w:r>
      <w:r w:rsidRPr="00BB69B4">
        <w:rPr>
          <w:spacing w:val="-2"/>
        </w:rPr>
        <w:t xml:space="preserve"> </w:t>
      </w:r>
    </w:p>
    <w:p w14:paraId="0F0680FF" w14:textId="77777777" w:rsidR="00BB69B4" w:rsidRPr="00BB69B4" w:rsidRDefault="00BB69B4" w:rsidP="00BB69B4">
      <w:pPr>
        <w:pStyle w:val="RStekst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 xml:space="preserve">Računsko sodišče je revidiralo pravilnost poslovanja </w:t>
      </w:r>
      <w:r w:rsidRPr="00BB69B4">
        <w:rPr>
          <w:rStyle w:val="RStekstBoldbarva"/>
          <w:color w:val="auto"/>
        </w:rPr>
        <w:t>Občine Žužemberk</w:t>
      </w:r>
      <w:r w:rsidRPr="00BB69B4">
        <w:rPr>
          <w:rStyle w:val="RStekstBoldbarva"/>
          <w:b w:val="0"/>
          <w:color w:val="auto"/>
        </w:rPr>
        <w:t xml:space="preserve"> </w:t>
      </w:r>
      <w:r w:rsidRPr="00BB69B4">
        <w:rPr>
          <w:rStyle w:val="RStekstBoldbarva"/>
          <w:color w:val="auto"/>
        </w:rPr>
        <w:t>v letu 2020</w:t>
      </w:r>
      <w:r w:rsidRPr="00BB69B4">
        <w:rPr>
          <w:rStyle w:val="RStekstBoldbarva"/>
          <w:b w:val="0"/>
          <w:color w:val="auto"/>
        </w:rPr>
        <w:t xml:space="preserve"> </w:t>
      </w:r>
      <w:r w:rsidRPr="00BB69B4">
        <w:rPr>
          <w:rStyle w:val="RStekstBoldbarva"/>
          <w:color w:val="auto"/>
        </w:rPr>
        <w:t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</w:t>
      </w:r>
      <w:r w:rsidRPr="00BB69B4">
        <w:rPr>
          <w:rStyle w:val="RStekstBoldbarva"/>
          <w:b w:val="0"/>
          <w:color w:val="auto"/>
        </w:rPr>
        <w:t>. Cilj revizije je bil izrek mnenja o pravilnosti poslovanja Občine Žužemberk v letu 2020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078F7116" w14:textId="77777777" w:rsidR="00BB69B4" w:rsidRPr="00BB69B4" w:rsidRDefault="00BB69B4" w:rsidP="00BB69B4">
      <w:pPr>
        <w:pStyle w:val="RStekst"/>
        <w:rPr>
          <w:rStyle w:val="RStekstBoldbarva"/>
          <w:color w:val="auto"/>
        </w:rPr>
      </w:pPr>
      <w:r w:rsidRPr="00BB69B4">
        <w:rPr>
          <w:rStyle w:val="RStekstBoldbarva"/>
          <w:b w:val="0"/>
          <w:color w:val="auto"/>
        </w:rPr>
        <w:t xml:space="preserve">Računsko sodišče je o pravilnosti dela poslovanja Občine Žužemberk v letu 2020 izreklo </w:t>
      </w:r>
      <w:r w:rsidRPr="00BB69B4">
        <w:rPr>
          <w:b/>
          <w:bCs w:val="0"/>
        </w:rPr>
        <w:t>negativno mnenje</w:t>
      </w:r>
      <w:r w:rsidRPr="00BB69B4">
        <w:rPr>
          <w:rStyle w:val="RStekstBoldbarva"/>
          <w:color w:val="auto"/>
        </w:rPr>
        <w:t>,</w:t>
      </w:r>
      <w:r w:rsidRPr="00BB69B4">
        <w:rPr>
          <w:rStyle w:val="RStekstBoldbarva"/>
          <w:b w:val="0"/>
          <w:color w:val="auto"/>
        </w:rPr>
        <w:t xml:space="preserve"> ker občina ni poslovala v skladu s predpisi, pogodbenimi določili in razpisno dokumentacijo v naslednjih primerih:</w:t>
      </w:r>
    </w:p>
    <w:p w14:paraId="24F2002F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>občina v splošnem in posebnem delu proračuna za leto 2020 ter v kadrovskem načrtu za leto 2020 ni prikazala vseh podatkov; obrazložitve proračuna občine za leto 2020 ter poročilo o doseženih ciljih in rezultatih za leto 2020 niso popolni; ob sprejemu letnega načrta razpolaganja z zemljišči in stavbami za leti 2019 in 2020 ni ločeno prikazala načrta razpolaganja z zemljišči in stavbami v letu 2020;</w:t>
      </w:r>
    </w:p>
    <w:p w14:paraId="72FDBE79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ab/>
        <w:t>evidenca nepremičnega premoženja občine in Letni načrt razpolaganja z zemljišči in stavbami za leto 2020 ne vsebujeta vseh predpisanih podatkov; v letu 2020 je prodala zemljišče, ne da bi ga vključila v Letni načrt razpolaganja z zemljišči in stavbami za leto 2020 – tretja dopolnitev; v 1 primeru menjave nepremičnega premoženja in v 1 primeru oddaje prostorov v najem ni objavila namere o sklenitvi neposredne pogodbe oziroma namere o oddaji stvarnega premoženja v najem; v 3 primerih namere o sklenitvi neposrednih pogodb niso vsebovale vseh predpisanih sestavin; v 2 primerih prodaje oziroma menjave nepremičnega premoženja, v 7 primerih oddaje prostorov v najem in za ustanovitev stavbne pravice ni imenovala skrbnika pravnega posla oziroma ga ni določila v pogodbi; v 2 primerih oddaje poslovnih prostorov, 3 primerih oddaje poslovnih prostorov v brezplačno uporabo in 1 primeru oddaje dela zemljišča v brezplačno uporabo ni pripravila posamičnega programa ravnanja s stvarnim premoženjem; v 2 primerih v najemni pogodbi ni določila obveznosti najemnika, da krije stroške uporabe stavbnega zemljišča in stroške zavarovanj;</w:t>
      </w:r>
    </w:p>
    <w:p w14:paraId="0B811907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lastRenderedPageBreak/>
        <w:t xml:space="preserve">pri oddaji počitniškega doma v Poreču za letno najemnino v znesku 2.000 EUR, ki ne odraža realne vrednosti višine najemnine, ni spoštovala načela gospodarnosti; v pogodbi o oddaji počitniškega doma je določila, da ima najemnik v primeru prodaje predmeta najema v času najema predkupno pravico in s tem ni spoštovala načela enakega obravnavanja; </w:t>
      </w:r>
      <w:r w:rsidRPr="00BB69B4">
        <w:rPr>
          <w:rStyle w:val="RStekstBoldbarva"/>
          <w:b w:val="0"/>
          <w:color w:val="auto"/>
        </w:rPr>
        <w:tab/>
        <w:t xml:space="preserve">v 4 primerih ni objavila namere o oddaji stvarnega premoženja v brezplačno uporabo; z 2 uporabnikoma poslovnih prostorov in 1 uporabnikom dela zemljišča je sklenila neposredne sporazume o brezplačni uporabi, čeprav za to niso bili izpolnjeni pogoji; sklenila je 3 sporazume o brezplačni uporabi za predolgo obdobje; </w:t>
      </w:r>
      <w:r w:rsidRPr="00BB69B4">
        <w:rPr>
          <w:rStyle w:val="RStekstBoldbarva"/>
          <w:b w:val="0"/>
          <w:color w:val="auto"/>
        </w:rPr>
        <w:tab/>
        <w:t xml:space="preserve">v 3 primerih je oddala v občasno uporabo del zemljišča Loka v Žužemberku za uporabnino, katere višina ni bila v skladu s Pravilnikom o uporabi večnamenskega zemljišča </w:t>
      </w:r>
      <w:r w:rsidRPr="00BB69B4">
        <w:t>(parc. št. 376)</w:t>
      </w:r>
      <w:r w:rsidRPr="00BB69B4">
        <w:rPr>
          <w:rStyle w:val="RStekstBoldbarva"/>
          <w:b w:val="0"/>
          <w:color w:val="auto"/>
        </w:rPr>
        <w:t xml:space="preserve"> Loka v Žužemberku in za katero je 1 uporabnik plačal uporabnino po uporabi zemljišča;</w:t>
      </w:r>
    </w:p>
    <w:p w14:paraId="72A9D8C3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>pri 1 javnem naročilu iz dokumentacije o javnem naročilu ni razviden način izračuna ocenjene vrednosti; dobava in montaža blaga je bila izvedena prepozno; pri 2 javnih naročilih sta bila zapisnik o odpiranju ponudb in odločitev naročnika nepopolna; pri 2 javnih naročilih obvestila o oddaji javnega naročila oziroma četrtletnega obvestila o oddaji javnega naročila ni poslala v objavo na portal javnih naročil; za več dela, dodatna dela in nepredvidena dela v vrednosti 92.208 EUR, ki predstavljajo 149 % vrednosti pogodbe, ni izvedla novega postopka javnega naročanja;</w:t>
      </w:r>
    </w:p>
    <w:p w14:paraId="78EDAC05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>za 1 sklop javnega naročila je pridobila zavarovanje za dobro izvedbo pogodbenih obveznosti v obliki menice z menično izjavo, ki po vsebini ni enakovredno zahtevanemu finančnemu zavarovanju, za preostale 3 sklope pa je pridobila zavarovanje za dobro izvedbo pogodbenih obveznosti in za vse sklope zavarovanje za odpravo napak v garancijskem roku, na katerih nista navedena roka njune veljavnosti; v 2 primerih je od izvajalca prejela bančno garancijo za dobro izvedbo pogodbenih obveznosti v prenizki vrednosti; v 1 primeru je od izvajalca prejela zavarovanje za odpravo napak v garancijskem roku v obliki menice z menično izjavo, ki po vsebini ni enakovredno zahtevanemu zavarovanju; v 1 primeru je od izvajalca prejela kavcijsko zavarovanje za dobro izvedbo pogodbenih obveznosti v prenizki vrednosti in s prekratkim rokom veljavnosti; v 1 primeru je od izvajalca prepozno prejela kavcijsko zavarovanje za odpravo napak v garancijskem roku;</w:t>
      </w:r>
    </w:p>
    <w:p w14:paraId="50ED2D55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ab/>
        <w:t xml:space="preserve">pri plačilu obveznosti iz proračuna ni upoštevala zakonskega plačilnega roka; </w:t>
      </w:r>
    </w:p>
    <w:p w14:paraId="35F0F6E9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>pri 2 javnih naročilih na portalu javnih naročil ni objavila pogodbe in aneksa k pogodbi; v 1 primeru je pripravila dokument identifikacije investicijskega projekta, ki ni vseboval vseh predpisanih sestavin; pred uvrstitvijo 1 projekta v načrt razvojnih programov ni pripravila dokumenta identifikacije investicijskega projekta;</w:t>
      </w:r>
      <w:r w:rsidRPr="00BB69B4">
        <w:rPr>
          <w:rStyle w:val="RStekstBoldbarva"/>
          <w:b w:val="0"/>
          <w:color w:val="auto"/>
        </w:rPr>
        <w:tab/>
        <w:t xml:space="preserve"> s sklenitvijo aneksa je prevzela za 72.395 EUR več obveznosti, kot je imela za ta namen načrtovanih sredstev na proračunski postavki; v 2 primerih pred sklenitvijo pogodbe ni pridobila izjave oziroma podatkov o udeležbi fizičnih in pravnih oseb v lastništvu ponudnika; v pogodbo ob sklenitvi ni vključila protikorupcijske klavzule; </w:t>
      </w:r>
      <w:r w:rsidRPr="00BB69B4">
        <w:rPr>
          <w:rStyle w:val="RStekstBoldbarva"/>
          <w:b w:val="0"/>
          <w:color w:val="auto"/>
        </w:rPr>
        <w:tab/>
        <w:t>pri 2 javnih naročilih je sklenila aneks k pogodbi po zaključku del; občina je dopustila, da je vse račune v celotni pogodbeni vrednosti izdal vodilni partner, ki je izvedel manjšo vrednost pogodbenih del;</w:t>
      </w:r>
    </w:p>
    <w:p w14:paraId="783D2B19" w14:textId="77777777" w:rsidR="00BB69B4" w:rsidRPr="00BB69B4" w:rsidRDefault="00BB69B4" w:rsidP="00BB69B4">
      <w:pPr>
        <w:pStyle w:val="RSnatevanje"/>
        <w:keepLines w:val="0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ab/>
        <w:t xml:space="preserve">ni sprejela sklepa o začetku postopka javnega razpisa na področju športa; predsednik in člani komisije na področju športa niso podpisali izjave o prepovedi interesne povezanosti; objave javnih razpisov na področju športa, kulture in turizma niso vsebovale vseh obveznih sestavin; zapisnik o odpiranju ponudb javnega razpisa na področju kulture je bil nepopoln; 1 prejemniku na drugih področjih delovanja je dodelila in izplačala sredstva v znesku 1.999 EUR, ne da bi izvedla javni razpis; 2 prejemnikoma na drugih področjih delovanja je dodelila in izplačala </w:t>
      </w:r>
      <w:r w:rsidRPr="00BB69B4">
        <w:rPr>
          <w:rStyle w:val="RStekstBoldbarva"/>
          <w:b w:val="0"/>
          <w:color w:val="auto"/>
        </w:rPr>
        <w:lastRenderedPageBreak/>
        <w:t>sredstva v skupnem znesku 2.499 EUR, ne da bi prej sklenila pogodbo o dodelitvi sredstev; na svetovni splet ni posredovala vseh dokumentov z javnega razpisa na področju športa, kulture in turizma;</w:t>
      </w:r>
    </w:p>
    <w:p w14:paraId="5DAB51D8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ab/>
        <w:t xml:space="preserve">ni v celoti izvajala nadzora nad zadolževanjem pravnih oseb javnega sektorja na ravni občine; </w:t>
      </w:r>
      <w:r w:rsidRPr="00BB69B4">
        <w:rPr>
          <w:rStyle w:val="RStekstBoldbarva"/>
          <w:b w:val="0"/>
          <w:color w:val="auto"/>
        </w:rPr>
        <w:tab/>
        <w:t>od 1 javnega zavoda in 1 javnega podjetja, katerih ustanoviteljica oziroma soustanoviteljica je, do 15. 1. 2021 ni pridobila podatkov o stanju njune zadolženosti na dan 31. 12. 2020;</w:t>
      </w:r>
    </w:p>
    <w:p w14:paraId="106FBDBD" w14:textId="77777777" w:rsidR="00BB69B4" w:rsidRPr="00BB69B4" w:rsidRDefault="00BB69B4" w:rsidP="00BB69B4">
      <w:pPr>
        <w:pStyle w:val="RSnatevanje"/>
        <w:rPr>
          <w:rStyle w:val="RStekstBoldbarva"/>
          <w:b w:val="0"/>
          <w:color w:val="auto"/>
        </w:rPr>
      </w:pPr>
      <w:r w:rsidRPr="00BB69B4">
        <w:rPr>
          <w:rStyle w:val="RStekstBoldbarva"/>
          <w:b w:val="0"/>
          <w:color w:val="auto"/>
        </w:rPr>
        <w:t>brezplačno je ustanovila stavbno pravico na nepremičnem premoženju, čeprav za to niso bili izpolnjeni zakonsko določeni pogoji; ni pripravila načrta ustanovitve stavbne pravice na zemljiščih.</w:t>
      </w:r>
    </w:p>
    <w:p w14:paraId="21CC44C3" w14:textId="24659E11" w:rsidR="003D1FAE" w:rsidRPr="00BB69B4" w:rsidRDefault="00BB69B4" w:rsidP="003D1FAE">
      <w:pPr>
        <w:pStyle w:val="RStekst"/>
      </w:pPr>
      <w:r w:rsidRPr="00BB69B4">
        <w:rPr>
          <w:rStyle w:val="RStekstBoldbarva"/>
          <w:b w:val="0"/>
          <w:color w:val="auto"/>
        </w:rPr>
        <w:t xml:space="preserve">Računsko sodišče je od Občine Žužemberk zahtevalo </w:t>
      </w:r>
      <w:r w:rsidRPr="00BB69B4">
        <w:rPr>
          <w:rStyle w:val="RStekstBoldbarva"/>
          <w:color w:val="auto"/>
        </w:rPr>
        <w:t xml:space="preserve">predložitev odzivnega poročila, </w:t>
      </w:r>
      <w:r w:rsidRPr="00BB69B4">
        <w:rPr>
          <w:rStyle w:val="RStekstBoldbarva"/>
          <w:b w:val="0"/>
          <w:color w:val="auto"/>
        </w:rPr>
        <w:t xml:space="preserve">v katerem mora izkazati popravljalne ukrepe za odpravo ugotovljenih nepravilnosti, in ji podalo </w:t>
      </w:r>
      <w:r w:rsidRPr="00BB69B4">
        <w:rPr>
          <w:rStyle w:val="RStekstBoldbarva"/>
          <w:color w:val="auto"/>
        </w:rPr>
        <w:t>priporočila</w:t>
      </w:r>
      <w:r w:rsidRPr="00BB69B4">
        <w:rPr>
          <w:rStyle w:val="RStekstBoldbarva"/>
          <w:b w:val="0"/>
          <w:color w:val="auto"/>
        </w:rPr>
        <w:t xml:space="preserve"> za izboljšanje poslovanja.</w:t>
      </w:r>
    </w:p>
    <w:p w14:paraId="5424E38D" w14:textId="77777777" w:rsidR="00C572B5" w:rsidRPr="00BB69B4" w:rsidRDefault="00C572B5" w:rsidP="003D1FAE">
      <w:pPr>
        <w:pStyle w:val="RStekst"/>
      </w:pPr>
    </w:p>
    <w:p w14:paraId="35897DF7" w14:textId="14E661DD" w:rsidR="008629A2" w:rsidRPr="00BB69B4" w:rsidRDefault="008629A2" w:rsidP="008629A2">
      <w:pPr>
        <w:pStyle w:val="RStekst"/>
      </w:pPr>
      <w:r w:rsidRPr="00BB69B4">
        <w:t xml:space="preserve">Ljubljana, </w:t>
      </w:r>
      <w:r w:rsidR="0057442F">
        <w:t>21. junija 2022</w:t>
      </w:r>
      <w:bookmarkStart w:id="0" w:name="_GoBack"/>
      <w:bookmarkEnd w:id="0"/>
    </w:p>
    <w:sectPr w:rsidR="008629A2" w:rsidRPr="00BB69B4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7F02CEE1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57442F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9D2FEA7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57442F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7442F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B69B4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paragraph" w:customStyle="1" w:styleId="RS-noga">
    <w:name w:val="RS-noga"/>
    <w:basedOn w:val="Navaden"/>
    <w:rsid w:val="00BB69B4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2022-06-15T12:18:00Z</dcterms:created>
  <dcterms:modified xsi:type="dcterms:W3CDTF">2022-06-16T11:26:00Z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