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397C9803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BE00CC">
        <w:rPr>
          <w:spacing w:val="-2"/>
        </w:rPr>
        <w:br/>
      </w:r>
      <w:r w:rsidR="00BE00CC" w:rsidRPr="00BE00CC">
        <w:rPr>
          <w:spacing w:val="-2"/>
        </w:rPr>
        <w:t xml:space="preserve">Pravilnost poslovanja Državnega odvetništva </w:t>
      </w:r>
      <w:r w:rsidR="00BE00CC">
        <w:rPr>
          <w:spacing w:val="-2"/>
        </w:rPr>
        <w:br/>
      </w:r>
      <w:r w:rsidR="00BE00CC" w:rsidRPr="00BE00CC">
        <w:rPr>
          <w:spacing w:val="-2"/>
        </w:rPr>
        <w:t>Republike Slovenije</w:t>
      </w:r>
    </w:p>
    <w:p w14:paraId="7618918A" w14:textId="77777777" w:rsidR="00BE00CC" w:rsidRDefault="00BE00CC" w:rsidP="00BE00CC">
      <w:pPr>
        <w:pStyle w:val="RStekst"/>
      </w:pPr>
      <w:r>
        <w:t xml:space="preserve">Računsko sodišče je izvedlo revizijo pravilnosti poslovanja </w:t>
      </w:r>
      <w:r w:rsidRPr="00A2405A">
        <w:rPr>
          <w:b/>
        </w:rPr>
        <w:t xml:space="preserve">Državnega odvetništva Republike </w:t>
      </w:r>
      <w:r w:rsidRPr="00415AD3">
        <w:rPr>
          <w:b/>
        </w:rPr>
        <w:t>Slovenije.</w:t>
      </w:r>
      <w:r>
        <w:t xml:space="preserve"> Cilj revizije je bil izrek mnenja o pravilnosti poslovanja Državnega odvetništva Republike Slovenije v letu 2021.</w:t>
      </w:r>
    </w:p>
    <w:p w14:paraId="2794405D" w14:textId="77777777" w:rsidR="00BE00CC" w:rsidRPr="0080275C" w:rsidRDefault="00BE00CC" w:rsidP="00BE00CC">
      <w:pPr>
        <w:pStyle w:val="RStekst"/>
      </w:pPr>
      <w:bookmarkStart w:id="0" w:name="_GoBack"/>
      <w:r w:rsidRPr="0080275C">
        <w:t xml:space="preserve">Računsko sodišče je o pravilnosti poslovanja Državnega odvetništva Republike Slovenije v letu 2021 izreklo </w:t>
      </w:r>
      <w:r w:rsidRPr="0080275C">
        <w:rPr>
          <w:b/>
        </w:rPr>
        <w:t>mnenje s pridržkom,</w:t>
      </w:r>
      <w:r w:rsidRPr="0080275C">
        <w:t xml:space="preserve"> ker je ugotovilo, da je v naslednjih primerih poslovalo v neskladju s predpisi:</w:t>
      </w:r>
    </w:p>
    <w:bookmarkEnd w:id="0"/>
    <w:p w14:paraId="7D75F28B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 w:rsidRPr="00FF126B">
        <w:t xml:space="preserve">v aktu o sistemizaciji </w:t>
      </w:r>
      <w:r>
        <w:t xml:space="preserve">je </w:t>
      </w:r>
      <w:r w:rsidRPr="00FF126B">
        <w:t xml:space="preserve">pri </w:t>
      </w:r>
      <w:r>
        <w:t>1 delovnem mestu določilo prenizek izhodiščni plačni razred;</w:t>
      </w:r>
    </w:p>
    <w:p w14:paraId="30E6B8A1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ni zagotovilo, da bi 2 zaposleni</w:t>
      </w:r>
      <w:r w:rsidRPr="00FF126B">
        <w:t xml:space="preserve"> izpolnjeval</w:t>
      </w:r>
      <w:r>
        <w:t>i</w:t>
      </w:r>
      <w:r w:rsidRPr="00FF126B">
        <w:t xml:space="preserve"> pogoje za dost</w:t>
      </w:r>
      <w:r>
        <w:t>op do tajnih podatkov;</w:t>
      </w:r>
    </w:p>
    <w:p w14:paraId="1E45D554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17</w:t>
      </w:r>
      <w:r w:rsidRPr="00FF126B">
        <w:t xml:space="preserve"> javnim uslužben</w:t>
      </w:r>
      <w:r>
        <w:t>cem</w:t>
      </w:r>
      <w:r w:rsidRPr="00FF126B">
        <w:t xml:space="preserve"> je izplačal</w:t>
      </w:r>
      <w:r>
        <w:t>o</w:t>
      </w:r>
      <w:r w:rsidRPr="00FF126B">
        <w:t xml:space="preserve"> za </w:t>
      </w:r>
      <w:r w:rsidRPr="007308C7">
        <w:t xml:space="preserve">skupaj </w:t>
      </w:r>
      <w:r>
        <w:t>714</w:t>
      </w:r>
      <w:r w:rsidRPr="007308C7">
        <w:t> EUR</w:t>
      </w:r>
      <w:r w:rsidRPr="00FF126B">
        <w:t xml:space="preserve"> prenizek dodatek za delovno dobo</w:t>
      </w:r>
      <w:r>
        <w:t>;</w:t>
      </w:r>
    </w:p>
    <w:p w14:paraId="7815AD03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javni uslužbenki je obračunalo in izplačalo za 543 EUR previsok položajni dodatek;</w:t>
      </w:r>
    </w:p>
    <w:p w14:paraId="729B4073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javnim uslužbencem je odmerilo dodatni dan dopusta za delo v težjih delovnih pogojih, čeprav dela niso opravljali v teh pogojih;</w:t>
      </w:r>
    </w:p>
    <w:p w14:paraId="49047F6D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zaposleni je povrnilo previsoke stroške javnega prevoza;</w:t>
      </w:r>
    </w:p>
    <w:p w14:paraId="4C9957FB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javnim uslužbencem je obračunalo in izplačalo regres za prehrano tudi za dneve, ko so delali manj kot 4 ure;</w:t>
      </w:r>
    </w:p>
    <w:p w14:paraId="31D11ACA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prevzelo je obveznosti, čeprav niso bili izpolnjeni vsi s predpisi določeni pogoji;</w:t>
      </w:r>
    </w:p>
    <w:p w14:paraId="3DFD92B9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za različne dobave blaga in izvedbo storitev v skupni vrednosti 104.287 EUR ni izvedlo postopkov oddaje javnega naročila;</w:t>
      </w:r>
    </w:p>
    <w:p w14:paraId="43F286CB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v postopek oddaje javnega naročila ni vključilo meril, ki se nanašajo na socialne vidike;</w:t>
      </w:r>
    </w:p>
    <w:p w14:paraId="4A29ED71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 xml:space="preserve">v postopku oddaje javnega naročila ni opredelilo </w:t>
      </w:r>
      <w:proofErr w:type="spellStart"/>
      <w:r>
        <w:t>okoljskih</w:t>
      </w:r>
      <w:proofErr w:type="spellEnd"/>
      <w:r>
        <w:t xml:space="preserve"> vidikov, s čimer bi zagotovilo doseganje ciljev zelenega javnega naročanja;</w:t>
      </w:r>
    </w:p>
    <w:p w14:paraId="4586DDC5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pred plačilom računov ni preverjalo pravnega temelja in višine obveznosti v vrednosti najmanj</w:t>
      </w:r>
    </w:p>
    <w:p w14:paraId="61F6A09C" w14:textId="77777777" w:rsidR="00BE00CC" w:rsidRDefault="00BE00CC" w:rsidP="00BE00CC">
      <w:pPr>
        <w:pStyle w:val="RSnatevanje"/>
        <w:numPr>
          <w:ilvl w:val="0"/>
          <w:numId w:val="0"/>
        </w:numPr>
        <w:ind w:left="398"/>
      </w:pPr>
      <w:r>
        <w:t>25.445 EUR;</w:t>
      </w:r>
    </w:p>
    <w:p w14:paraId="4D7C7CE7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pogodba ni vsebovala protikorupcijske klavzule;</w:t>
      </w:r>
    </w:p>
    <w:p w14:paraId="3BD089E7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 xml:space="preserve">porabilo je 400 EUR sredstev proračuna za storitve, ki niso bile nujne za izvajanje nalog; </w:t>
      </w:r>
    </w:p>
    <w:p w14:paraId="4A47308B" w14:textId="77777777" w:rsidR="00BE00CC" w:rsidRDefault="00BE00CC" w:rsidP="00BE00CC">
      <w:pPr>
        <w:pStyle w:val="RSnatevanje"/>
        <w:keepNext/>
        <w:keepLines w:val="0"/>
        <w:numPr>
          <w:ilvl w:val="1"/>
          <w:numId w:val="28"/>
        </w:numPr>
        <w:spacing w:after="80"/>
        <w:ind w:left="397"/>
      </w:pPr>
      <w:r>
        <w:t>v sistemu MFERAC je obveznosti evidentiralo z uporabo obrazca finančno ovrednotenega programa;</w:t>
      </w:r>
    </w:p>
    <w:p w14:paraId="281E253B" w14:textId="77777777" w:rsidR="00BE00CC" w:rsidRDefault="00BE00CC" w:rsidP="00BE00CC">
      <w:pPr>
        <w:pStyle w:val="RSnatevanje"/>
        <w:keepLines w:val="0"/>
        <w:numPr>
          <w:ilvl w:val="1"/>
          <w:numId w:val="28"/>
        </w:numPr>
        <w:spacing w:after="80"/>
      </w:pPr>
      <w:r>
        <w:t>ni zagotovilo, da bi bili 2 odredbi za izplačilo podpisani.</w:t>
      </w:r>
    </w:p>
    <w:p w14:paraId="27870F05" w14:textId="77777777" w:rsidR="00BE00CC" w:rsidRDefault="00BE00CC" w:rsidP="00BE00CC">
      <w:pPr>
        <w:pStyle w:val="RStekst"/>
      </w:pPr>
      <w:r>
        <w:lastRenderedPageBreak/>
        <w:t xml:space="preserve">Računsko sodišče je Državnemu odvetništvu Republike Slovenije podalo </w:t>
      </w:r>
      <w:r>
        <w:rPr>
          <w:b/>
        </w:rPr>
        <w:t>priporočilo</w:t>
      </w:r>
      <w:r>
        <w:t xml:space="preserve"> za izboljšanje poslovanja, ni pa zahtevalo predložitve odzivnega poročila, saj je Državno odvetništvo Republike Slovenije med revizijskim postopkom sprejelo ustrezne popravljalne ukrepe za odpravo razkritih nepravilnosti.</w:t>
      </w:r>
    </w:p>
    <w:p w14:paraId="5424E38D" w14:textId="4651617A" w:rsidR="00C572B5" w:rsidRDefault="00C572B5" w:rsidP="003D1FAE">
      <w:pPr>
        <w:pStyle w:val="RStekst"/>
      </w:pPr>
    </w:p>
    <w:p w14:paraId="35897DF7" w14:textId="28E4D218" w:rsidR="008629A2" w:rsidRDefault="008629A2" w:rsidP="008629A2">
      <w:pPr>
        <w:pStyle w:val="RStekst"/>
      </w:pPr>
      <w:r>
        <w:t xml:space="preserve">Ljubljana, </w:t>
      </w:r>
      <w:r w:rsidR="00BE00CC">
        <w:t>24. novembra 2022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3D0B2F0D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80275C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4AC074DC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0275C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61564"/>
    <w:multiLevelType w:val="multilevel"/>
    <w:tmpl w:val="40C05150"/>
    <w:lvl w:ilvl="0">
      <w:start w:val="1"/>
      <w:numFmt w:val="lowerLetter"/>
      <w:lvlText w:val="%1)"/>
      <w:lvlJc w:val="left"/>
      <w:pPr>
        <w:ind w:left="398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98" w:hanging="397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795"/>
        </w:tabs>
        <w:ind w:left="795" w:hanging="39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ind w:left="288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1" w:hanging="180"/>
      </w:pPr>
      <w:rPr>
        <w:rFonts w:hint="default"/>
      </w:rPr>
    </w:lvl>
  </w:abstractNum>
  <w:abstractNum w:abstractNumId="9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10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3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5FD69A9"/>
    <w:multiLevelType w:val="multilevel"/>
    <w:tmpl w:val="10A4B764"/>
    <w:lvl w:ilvl="0">
      <w:start w:val="1"/>
      <w:numFmt w:val="bullet"/>
      <w:pStyle w:val="RSnatevanj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bullet"/>
      <w:pStyle w:val="RSnatevanje2"/>
      <w:lvlText w:val="–"/>
      <w:lvlJc w:val="left"/>
      <w:pPr>
        <w:tabs>
          <w:tab w:val="num" w:pos="794"/>
        </w:tabs>
        <w:ind w:left="794" w:hanging="397"/>
      </w:pPr>
      <w:rPr>
        <w:rFonts w:ascii="Cambria" w:hAnsi="Cambria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pStyle w:val="RSnatevanje3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3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4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4"/>
  </w:num>
  <w:num w:numId="6">
    <w:abstractNumId w:val="17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3"/>
  </w:num>
  <w:num w:numId="9">
    <w:abstractNumId w:val="20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1"/>
  </w:num>
  <w:num w:numId="11">
    <w:abstractNumId w:val="1"/>
  </w:num>
  <w:num w:numId="12">
    <w:abstractNumId w:val="22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5"/>
  </w:num>
  <w:num w:numId="14">
    <w:abstractNumId w:val="9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10"/>
  </w:num>
  <w:num w:numId="16">
    <w:abstractNumId w:val="18"/>
  </w:num>
  <w:num w:numId="17">
    <w:abstractNumId w:val="14"/>
  </w:num>
  <w:num w:numId="18">
    <w:abstractNumId w:val="23"/>
  </w:num>
  <w:num w:numId="19">
    <w:abstractNumId w:val="2"/>
  </w:num>
  <w:num w:numId="20">
    <w:abstractNumId w:val="7"/>
  </w:num>
  <w:num w:numId="21">
    <w:abstractNumId w:val="3"/>
  </w:num>
  <w:num w:numId="22">
    <w:abstractNumId w:val="25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6"/>
  </w:num>
  <w:num w:numId="28">
    <w:abstractNumId w:val="8"/>
  </w:num>
  <w:num w:numId="29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0275C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E00CC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uiPriority w:val="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uiPriority w:val="1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uiPriority w:val="1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uiPriority w:val="1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4" ma:contentTypeDescription="Create a new document." ma:contentTypeScope="" ma:versionID="5287a15032929f91be0166408c93dbe8">
  <xsd:schema xmlns:xsd="http://www.w3.org/2001/XMLSchema" xmlns:xs="http://www.w3.org/2001/XMLSchema" xmlns:p="http://schemas.microsoft.com/office/2006/metadata/properties" xmlns:ns2="42ebf45c-1dc9-4706-a9a1-7b70b4b0c362" targetNamespace="http://schemas.microsoft.com/office/2006/metadata/properties" ma:root="true" ma:fieldsID="f92d8e43de46e659f78b612e9c46c427" ns2:_="">
    <xsd:import namespace="42ebf45c-1dc9-4706-a9a1-7b70b4b0c3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bf45c-1dc9-4706-a9a1-7b70b4b0c3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42ebf45c-1dc9-4706-a9a1-7b70b4b0c362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B9E4977-FA95-470C-ADEA-1270D891E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ebf45c-1dc9-4706-a9a1-7b70b4b0c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2022-11-22T07:53:00Z</dcterms:created>
  <dcterms:modified xsi:type="dcterms:W3CDTF">2022-11-22T07:53:00Z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