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370C7BC" w:rsidR="008629A2" w:rsidRDefault="008629A2" w:rsidP="008629A2">
      <w:pPr>
        <w:pStyle w:val="RSGLAVNINASLOV"/>
        <w:rPr>
          <w:spacing w:val="-2"/>
        </w:rPr>
      </w:pPr>
      <w:r w:rsidRPr="009176A9">
        <w:rPr>
          <w:spacing w:val="-2"/>
        </w:rPr>
        <w:t xml:space="preserve">Povzetek revizijskega poročila </w:t>
      </w:r>
      <w:r w:rsidR="00F4355D">
        <w:rPr>
          <w:spacing w:val="-2"/>
        </w:rPr>
        <w:br/>
      </w:r>
      <w:r w:rsidR="00FA5702" w:rsidRPr="00FA5702">
        <w:rPr>
          <w:spacing w:val="-2"/>
        </w:rPr>
        <w:t>Pravilnost dela poslovanja Občine Ruše</w:t>
      </w:r>
    </w:p>
    <w:p w14:paraId="158EAC86" w14:textId="77777777" w:rsidR="00FA5702" w:rsidRPr="00620A3F" w:rsidRDefault="00FA5702" w:rsidP="00FA5702">
      <w:pPr>
        <w:pStyle w:val="RStekst"/>
      </w:pPr>
      <w:r w:rsidRPr="00620A3F">
        <w:t xml:space="preserve">Računsko sodišče je revidiralo pravilnost poslovanja Občine Ruše v letih 2018 in 2019 </w:t>
      </w:r>
      <w:r w:rsidRPr="00620A3F">
        <w:rPr>
          <w:b/>
        </w:rPr>
        <w:t xml:space="preserve">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 </w:t>
      </w:r>
      <w:r w:rsidRPr="00620A3F">
        <w:t>Cilj revizije je bil izrek mnenja o pravilnosti poslovanja Občine Ruše v letih 2018 in 2019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r w:rsidRPr="00620A3F">
        <w:rPr>
          <w:spacing w:val="-2"/>
        </w:rPr>
        <w:t>.</w:t>
      </w:r>
    </w:p>
    <w:p w14:paraId="1D7D4C8D" w14:textId="23C3A325" w:rsidR="00FA5702" w:rsidRPr="00620A3F" w:rsidRDefault="00FA5702" w:rsidP="00FA5702">
      <w:pPr>
        <w:pStyle w:val="RStekst"/>
        <w:rPr>
          <w:bCs w:val="0"/>
        </w:rPr>
      </w:pPr>
      <w:r w:rsidRPr="00620A3F">
        <w:t xml:space="preserve">Računsko sodišče je o pravilnosti dela poslovanja Občine Ruše v letih 2018 in 2019 izreklo </w:t>
      </w:r>
      <w:r w:rsidRPr="00FA5702">
        <w:rPr>
          <w:rFonts w:ascii="Cambria" w:hAnsi="Cambria"/>
          <w:b/>
          <w:color w:val="386156"/>
        </w:rPr>
        <w:t>negativno mnenje,</w:t>
      </w:r>
      <w:r w:rsidRPr="00620A3F">
        <w:t xml:space="preserve"> ker občina ni poslovala v skladu s predpisi in pogodbenimi določili v </w:t>
      </w:r>
      <w:r w:rsidRPr="00620A3F">
        <w:rPr>
          <w:bCs w:val="0"/>
        </w:rPr>
        <w:t>naslednjih primerih:</w:t>
      </w:r>
    </w:p>
    <w:p w14:paraId="6AEE75B7" w14:textId="77777777" w:rsidR="00FA5702" w:rsidRPr="00620A3F" w:rsidRDefault="00FA5702" w:rsidP="00FA5702">
      <w:pPr>
        <w:pStyle w:val="RSnatevanje"/>
      </w:pPr>
      <w:r w:rsidRPr="00620A3F">
        <w:rPr>
          <w:lang w:eastAsia="sl-SI"/>
        </w:rPr>
        <w:t>porabila je več sredstev, kot je bilo dopustno v obdobju začasnega financiranja</w:t>
      </w:r>
      <w:r w:rsidRPr="00620A3F">
        <w:t xml:space="preserve">; poročili o izvrševanju proračuna v prvem polletju 2018 in 2019, </w:t>
      </w:r>
      <w:r w:rsidRPr="00620A3F">
        <w:rPr>
          <w:lang w:eastAsia="sl-SI"/>
        </w:rPr>
        <w:t>obrazložitve proračunov za leti 2018 in</w:t>
      </w:r>
      <w:r>
        <w:rPr>
          <w:lang w:eastAsia="sl-SI"/>
        </w:rPr>
        <w:t> </w:t>
      </w:r>
      <w:r w:rsidRPr="00620A3F">
        <w:rPr>
          <w:lang w:eastAsia="sl-SI"/>
        </w:rPr>
        <w:t>2019</w:t>
      </w:r>
      <w:r w:rsidRPr="00620A3F">
        <w:t xml:space="preserve"> ter poročili o doseženih ciljih in rezultatih za leti 2018 in 2019 niso popolni;</w:t>
      </w:r>
    </w:p>
    <w:p w14:paraId="5926EC08" w14:textId="77777777" w:rsidR="00FA5702" w:rsidRPr="00620A3F" w:rsidRDefault="00FA5702" w:rsidP="00FA5702">
      <w:pPr>
        <w:pStyle w:val="RSnatevanje"/>
      </w:pPr>
      <w:r w:rsidRPr="00620A3F">
        <w:t>v 15 primerih prodaje oziroma menjave nepremičnega premoženja in v 10 primerih oddaje prostorov v najem ni imenovala skrbnika pravnega posla oziroma ga ni določila v pogodbi;</w:t>
      </w:r>
    </w:p>
    <w:p w14:paraId="4539E72B" w14:textId="77777777" w:rsidR="00FA5702" w:rsidRPr="00620A3F" w:rsidRDefault="00FA5702" w:rsidP="00FA5702">
      <w:pPr>
        <w:pStyle w:val="RSnatevanje"/>
        <w:keepLines w:val="0"/>
      </w:pPr>
      <w:r w:rsidRPr="00620A3F">
        <w:t xml:space="preserve">s 3 uporabniki poslovnih prostorov je sklenila neposredne pogodbe o brezplačni uporabi, čeprav za to niso bili izpolnjeni pogoji; 2 uporabnikoma je leta 2018 in del leta 2019 omogočala brezplačno uporabo prostorov, ne da bi sklenila neposredno pogodbo; </w:t>
      </w:r>
      <w:r w:rsidRPr="00620A3F">
        <w:rPr>
          <w:lang w:eastAsia="sl-SI"/>
        </w:rPr>
        <w:t xml:space="preserve">v 2 primerih ni objavila namere o oddaji prostorov </w:t>
      </w:r>
      <w:r w:rsidRPr="00620A3F">
        <w:t xml:space="preserve">v brezplačno uporabo; 9 uporabnikov, s katerimi je občina sklenila pogodbe o brezplačni uporabi nepremičnega premoženja in anekse k pogodbam, je oprostila plačila obratovalnih in drugih stroškov; 4 uporabnikom prostorov v kulturnih domovih občine je v letu 2018 (do 10. 3. 2018) omogočala brezplačno uporabo, čeprav za to niso bili izpolnjeni pogoji; 3 uporabnikom v letu 2018 (po 10. 3. 2018) in 5 uporabnikom v letu 2019 ni zaračunala uporabnine za občasno uporabo prostorov v kulturnih domovih občine; cenika, ki ga je uporabljala v obdobju od 10. 9. 2018 in do 15. 10. 2019 za oddajo nepremičnega premoženja občine v občasno uporabo, ni sprejel župan; </w:t>
      </w:r>
    </w:p>
    <w:p w14:paraId="5966248D" w14:textId="77777777" w:rsidR="00FA5702" w:rsidRPr="00620A3F" w:rsidRDefault="00FA5702" w:rsidP="00FA5702">
      <w:pPr>
        <w:pStyle w:val="RSnatevanje"/>
        <w:rPr>
          <w:lang w:eastAsia="sl-SI"/>
        </w:rPr>
      </w:pPr>
      <w:r w:rsidRPr="00620A3F">
        <w:rPr>
          <w:lang w:eastAsia="sl-SI"/>
        </w:rPr>
        <w:lastRenderedPageBreak/>
        <w:t xml:space="preserve">v 4 primerih oddaje prostorov v najem ni objavila namere o oddaji stvarnega premoženja v najem; </w:t>
      </w:r>
      <w:r w:rsidRPr="00620A3F">
        <w:t>v 1 primeru v pogodbi o oddaji stvarnega premoženja v najem ni določila obveznosti najemnika, da krije obratovalne stroške, stroške rednega vzdrževanja, stroške nadomestila za uporabo stavbnega zemljišča in stroške zavarovanj, v 4 primerih pa je v pogodbi določila, da so obratovalni stroški vključeni v najemnino, ni pa razvidna višina teh stroškov, prav tako v pogodbi ni določila obveznosti najemnika, da krije stroške rednega vzdrževanja, stroške nadomestila za uporabo stavbnega zemljišča ter stroške zavarovanj;</w:t>
      </w:r>
    </w:p>
    <w:p w14:paraId="3E951D73" w14:textId="77777777" w:rsidR="00FA5702" w:rsidRPr="00620A3F" w:rsidRDefault="00FA5702" w:rsidP="00FA5702">
      <w:pPr>
        <w:pStyle w:val="RSnatevanje"/>
        <w:rPr>
          <w:lang w:eastAsia="sl-SI"/>
        </w:rPr>
      </w:pPr>
      <w:r w:rsidRPr="00620A3F">
        <w:t>nakup viličarja v vrednosti 14.030 EUR ni predvidela v Letnem načrtu ravnanja s stvarnim premoženjem Občine Ruše za leto 2018;</w:t>
      </w:r>
      <w:r w:rsidRPr="00620A3F">
        <w:rPr>
          <w:lang w:eastAsia="sl-SI"/>
        </w:rPr>
        <w:t xml:space="preserve"> </w:t>
      </w:r>
      <w:r w:rsidRPr="00620A3F">
        <w:t xml:space="preserve">prevzela je in plačala obveznost v znesku 366 EUR za dela, ki niso bila naročena z naročilnico; </w:t>
      </w:r>
      <w:r w:rsidRPr="00620A3F">
        <w:rPr>
          <w:lang w:eastAsia="sl-SI"/>
        </w:rPr>
        <w:t xml:space="preserve">s sklenitvijo pogodbe je </w:t>
      </w:r>
      <w:r w:rsidRPr="00620A3F">
        <w:t>prevzela za 5.934 EUR več obveznosti</w:t>
      </w:r>
      <w:r w:rsidRPr="00620A3F">
        <w:rPr>
          <w:lang w:eastAsia="sl-SI"/>
        </w:rPr>
        <w:t xml:space="preserve">, kot je imela za ta namen </w:t>
      </w:r>
      <w:r w:rsidRPr="00620A3F">
        <w:t xml:space="preserve">zagotovljenih sredstev </w:t>
      </w:r>
      <w:r w:rsidRPr="00620A3F">
        <w:rPr>
          <w:lang w:eastAsia="sl-SI"/>
        </w:rPr>
        <w:t xml:space="preserve">v proračunu ob prevzemu obveznosti; </w:t>
      </w:r>
      <w:r w:rsidRPr="00620A3F">
        <w:t>pred uvrstitvijo 8 projektov v načrt razvojnih programov ni pripravila dokumenta identifikacije investicijskega projekta</w:t>
      </w:r>
      <w:r w:rsidRPr="00620A3F">
        <w:rPr>
          <w:rStyle w:val="RStekstZnak"/>
        </w:rPr>
        <w:t xml:space="preserve"> oziroma poenostavljene investicijske dokumentacije</w:t>
      </w:r>
      <w:r w:rsidRPr="00620A3F">
        <w:t>;</w:t>
      </w:r>
    </w:p>
    <w:p w14:paraId="799791A7" w14:textId="77777777" w:rsidR="00FA5702" w:rsidRPr="00620A3F" w:rsidRDefault="00FA5702" w:rsidP="00FA5702">
      <w:pPr>
        <w:pStyle w:val="RSnatevanje"/>
      </w:pPr>
      <w:r w:rsidRPr="00620A3F">
        <w:t>zavarovanji za dobro izvedbo pogodbenih obveznosti je pridobila prepozno; v 4 primerih od izvajalca ni pridobila ustreznega zavarovanja za dobro izvedbo pogodbenih obveznosti s podaljšanim rokom veljavnosti oziroma povečano vrednostjo;</w:t>
      </w:r>
      <w:r w:rsidRPr="00620A3F">
        <w:rPr>
          <w:lang w:eastAsia="sl-SI"/>
        </w:rPr>
        <w:t xml:space="preserve"> </w:t>
      </w:r>
    </w:p>
    <w:p w14:paraId="46BB9B72" w14:textId="77777777" w:rsidR="00FA5702" w:rsidRPr="00620A3F" w:rsidRDefault="00FA5702" w:rsidP="00FA5702">
      <w:pPr>
        <w:pStyle w:val="RSnatevanje"/>
        <w:rPr>
          <w:spacing w:val="-2"/>
          <w:szCs w:val="22"/>
        </w:rPr>
      </w:pPr>
      <w:r w:rsidRPr="00620A3F">
        <w:rPr>
          <w:spacing w:val="-2"/>
          <w:lang w:eastAsia="sl-SI"/>
        </w:rPr>
        <w:t xml:space="preserve">v 2 primerih je prepozno poslala v objavo obvestilo o oddaji javnega naročila, v 5 primerih na portal javnih naročil ni poslala v objavo obvestila o spremembi pogodbe o izvedbi javnega naročila v času njegove veljavnosti; v 3 primerih je z oddajo več postopkov javnega naročanja vrednost javnega naročila razdelila in se izognila postopku javnega naročanja (izvajalcem je v letu 2018 plačala 74.131 EUR, v letu 2019 pa 114.335 EUR); ponudbe, ki je presegala zagotovljena sredstva v proračunu občine, ni izločila kot nedopustne, po izteku roka za prejem ponudbe je spremenila dokumentacijo v zvezi z oddajo javnega naročila in sklenila pogodbo, ki odstopa od osnutka pogodbe iz razpisne dokumentacije (izvajalcu je v letu 2018 plačala 103.897 EUR in v letu 2019 42.775 EUR); </w:t>
      </w:r>
      <w:r w:rsidRPr="00620A3F">
        <w:t>pri plačilu obveznosti iz proračuna ni upoštevala zakonskih plačilnih rokov;</w:t>
      </w:r>
    </w:p>
    <w:p w14:paraId="26472DEC" w14:textId="77777777" w:rsidR="00FA5702" w:rsidRPr="00620A3F" w:rsidRDefault="00FA5702" w:rsidP="00FA5702">
      <w:pPr>
        <w:pStyle w:val="RSnatevanje"/>
      </w:pPr>
      <w:r w:rsidRPr="00620A3F">
        <w:t xml:space="preserve">v 7 pogodb za prevoze učencev osnovne šole ni vključila protikorupcijske klavzule; </w:t>
      </w:r>
    </w:p>
    <w:p w14:paraId="13B9717B" w14:textId="77777777" w:rsidR="00FA5702" w:rsidRPr="00620A3F" w:rsidRDefault="00FA5702" w:rsidP="00FA5702">
      <w:pPr>
        <w:pStyle w:val="RSnatevanje"/>
      </w:pPr>
      <w:r w:rsidRPr="00620A3F">
        <w:t>v javnih razpisih na področju športa za leto 2018 in za leto 2019 je navedla neustrezna področja; v javnem razpisu na področju športa za leto 2018 je uporabila neustrezna merila, način uporabe meril ni bil v vseh primerih jasno določen (izvajalcem športa je v letu 2018 izplačala sredstva v skupnem znesku 135.642 EUR); izvajalcu športnih programov je na podlagi neposrednih pogodb dodelila in izplačala sredstva (1.053 EUR v letu 2018 in 621 EUR v letu 2019), ne da bi prej izvedla javni razpis;</w:t>
      </w:r>
    </w:p>
    <w:p w14:paraId="4C433EBE" w14:textId="77777777" w:rsidR="00FA5702" w:rsidRPr="00620A3F" w:rsidRDefault="00FA5702" w:rsidP="00FA5702">
      <w:pPr>
        <w:pStyle w:val="RSnatevanje"/>
        <w:rPr>
          <w:lang w:eastAsia="sl-SI"/>
        </w:rPr>
      </w:pPr>
      <w:r w:rsidRPr="00620A3F">
        <w:t xml:space="preserve">ni v celoti izvajala nadzora nad zadolževanjem pravnih oseb javnega sektorja na ravni občine; </w:t>
      </w:r>
      <w:r w:rsidRPr="00620A3F">
        <w:rPr>
          <w:lang w:eastAsia="sl-SI"/>
        </w:rPr>
        <w:t>v odlokih o proračunu občine za leto 2018 in za leto 2019 ni določila obsega zadolževanja vseh pravnih oseb javnega sektorja na ravni občine</w:t>
      </w:r>
      <w:r w:rsidRPr="00620A3F">
        <w:t>;</w:t>
      </w:r>
      <w:r w:rsidRPr="00620A3F">
        <w:rPr>
          <w:lang w:eastAsia="sl-SI"/>
        </w:rPr>
        <w:t xml:space="preserve"> od </w:t>
      </w:r>
      <w:r w:rsidRPr="00620A3F">
        <w:t>2 javnih zavodov in 3 javnih podjetij, katerih ustanoviteljica oziroma soustanoviteljica je, do 15. 1. 2018 ni pridobila podatkov o stanju njihove zadolženosti na dan 31. 12. 2018</w:t>
      </w:r>
      <w:r w:rsidRPr="00620A3F">
        <w:rPr>
          <w:lang w:eastAsia="sl-SI"/>
        </w:rPr>
        <w:t>, od 3 javnih zavodov in 3 javnih podjetij,</w:t>
      </w:r>
      <w:r w:rsidRPr="00620A3F">
        <w:t xml:space="preserve"> katerih ustanoviteljica oziroma soustanoviteljica je, do 15. 1. 2020 ni pridobila podatkov o stanju njihove zadolženosti na dan 31. 12. 2019.</w:t>
      </w:r>
    </w:p>
    <w:p w14:paraId="5BEC0011" w14:textId="4ACAEEAB" w:rsidR="00225545" w:rsidRDefault="00FA5702" w:rsidP="00FA5702">
      <w:pPr>
        <w:pStyle w:val="RStekst"/>
      </w:pPr>
      <w:r w:rsidRPr="00620A3F">
        <w:t xml:space="preserve">Računsko sodišče je Občini Ruše podalo </w:t>
      </w:r>
      <w:r w:rsidRPr="00620A3F">
        <w:rPr>
          <w:b/>
        </w:rPr>
        <w:t>priporočila</w:t>
      </w:r>
      <w:r w:rsidRPr="00620A3F">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78949E65" w14:textId="797C344D" w:rsidR="00F4355D" w:rsidRDefault="008629A2" w:rsidP="008629A2">
      <w:pPr>
        <w:pStyle w:val="RStekst"/>
      </w:pPr>
      <w:bookmarkStart w:id="0" w:name="_GoBack"/>
      <w:bookmarkEnd w:id="0"/>
      <w:r>
        <w:t xml:space="preserve">Ljubljana, </w:t>
      </w:r>
      <w:r w:rsidR="00B76D87">
        <w:t>6</w:t>
      </w:r>
      <w:r w:rsidR="00A330A9">
        <w:t>.</w:t>
      </w:r>
      <w:r w:rsidR="00F4355D">
        <w:t xml:space="preserve"> </w:t>
      </w:r>
      <w:r w:rsidR="00FA5702">
        <w:t>septembra</w:t>
      </w:r>
      <w:r w:rsidR="00F4355D">
        <w:t xml:space="preserve"> 2021</w:t>
      </w:r>
    </w:p>
    <w:sectPr w:rsidR="00F4355D"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74DB0A4"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F96BB9">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5A6AD51"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96BB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F864B2"/>
    <w:multiLevelType w:val="hybridMultilevel"/>
    <w:tmpl w:val="0F4A063A"/>
    <w:lvl w:ilvl="0" w:tplc="5C20CB24">
      <w:start w:val="1"/>
      <w:numFmt w:val="bullet"/>
      <w:pStyle w:val="RS-Dolbe"/>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1"/>
  </w:num>
  <w:num w:numId="3">
    <w:abstractNumId w:val="20"/>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04D56"/>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545"/>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5F12AE"/>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47C6"/>
    <w:rsid w:val="008F5ACB"/>
    <w:rsid w:val="00911D81"/>
    <w:rsid w:val="009128FF"/>
    <w:rsid w:val="0091460C"/>
    <w:rsid w:val="009251E1"/>
    <w:rsid w:val="009263FF"/>
    <w:rsid w:val="00935F2E"/>
    <w:rsid w:val="0093650D"/>
    <w:rsid w:val="00940706"/>
    <w:rsid w:val="00942819"/>
    <w:rsid w:val="00965027"/>
    <w:rsid w:val="00971399"/>
    <w:rsid w:val="00974799"/>
    <w:rsid w:val="009953FA"/>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330A9"/>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76D87"/>
    <w:rsid w:val="00B854EC"/>
    <w:rsid w:val="00B9278C"/>
    <w:rsid w:val="00B93A19"/>
    <w:rsid w:val="00B945AD"/>
    <w:rsid w:val="00B96988"/>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6690C"/>
    <w:rsid w:val="00C7520A"/>
    <w:rsid w:val="00C941E5"/>
    <w:rsid w:val="00CA4E70"/>
    <w:rsid w:val="00CA4EAF"/>
    <w:rsid w:val="00CA7704"/>
    <w:rsid w:val="00CC5085"/>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55D"/>
    <w:rsid w:val="00F43BBE"/>
    <w:rsid w:val="00F50377"/>
    <w:rsid w:val="00F51F0D"/>
    <w:rsid w:val="00F6071C"/>
    <w:rsid w:val="00F61A94"/>
    <w:rsid w:val="00F62025"/>
    <w:rsid w:val="00F671C7"/>
    <w:rsid w:val="00F75A97"/>
    <w:rsid w:val="00F818AD"/>
    <w:rsid w:val="00F85E3E"/>
    <w:rsid w:val="00F87A17"/>
    <w:rsid w:val="00F87DE9"/>
    <w:rsid w:val="00F96BB9"/>
    <w:rsid w:val="00FA5702"/>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paragraph" w:customStyle="1" w:styleId="RS-Dolbe">
    <w:name w:val="RS-Dolčbe"/>
    <w:aliases w:val="Vprašalnik-naštevanje"/>
    <w:basedOn w:val="Navaden"/>
    <w:rsid w:val="008F47C6"/>
    <w:pPr>
      <w:keepNext/>
      <w:widowControl/>
      <w:numPr>
        <w:numId w:val="28"/>
      </w:numPr>
      <w:pBdr>
        <w:top w:val="single" w:sz="18" w:space="2" w:color="D0CECE" w:themeColor="background2" w:themeShade="E6"/>
        <w:bottom w:val="single" w:sz="18" w:space="4" w:color="D0CECE" w:themeColor="background2" w:themeShade="E6"/>
      </w:pBdr>
      <w:adjustRightInd w:val="0"/>
      <w:snapToGrid w:val="0"/>
      <w:spacing w:before="0" w:after="0" w:line="280" w:lineRule="exact"/>
      <w:contextualSpacing w:val="0"/>
      <w:jc w:val="both"/>
    </w:pPr>
    <w:rPr>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5423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2021-09-03T11:23:00Z</dcterms:created>
  <dcterms:modified xsi:type="dcterms:W3CDTF">2021-09-03T11:25:00Z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