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4E5A9CF" w:rsidR="008629A2" w:rsidRPr="00F4569E" w:rsidRDefault="008629A2" w:rsidP="008629A2">
      <w:pPr>
        <w:pStyle w:val="RSGLAVNINASLOV"/>
        <w:rPr>
          <w:spacing w:val="-2"/>
        </w:rPr>
      </w:pPr>
      <w:r w:rsidRPr="009176A9">
        <w:rPr>
          <w:spacing w:val="-2"/>
        </w:rPr>
        <w:t xml:space="preserve">Povzetek revizijskega poročila </w:t>
      </w:r>
      <w:r w:rsidR="001B04AE" w:rsidRPr="001B04AE">
        <w:rPr>
          <w:spacing w:val="-2"/>
        </w:rPr>
        <w:t>Pravilnost dela poslovanja Občine Lovrenc na Pohorju</w:t>
      </w:r>
    </w:p>
    <w:p w14:paraId="74BE191C" w14:textId="77777777" w:rsidR="001B04AE" w:rsidRPr="001B04AE" w:rsidRDefault="001B04AE" w:rsidP="001B04AE">
      <w:pPr>
        <w:pStyle w:val="RStekst"/>
        <w:rPr>
          <w:rFonts w:ascii="Cambria" w:hAnsi="Cambria"/>
        </w:rPr>
      </w:pPr>
      <w:r w:rsidRPr="001B04AE">
        <w:rPr>
          <w:rFonts w:ascii="Cambria" w:hAnsi="Cambria"/>
        </w:rPr>
        <w:t xml:space="preserve">Računsko sodišče je revidiralo pravilnost poslovanja Občine Lovrenc na Pohorju v letu 2019 </w:t>
      </w:r>
      <w:r w:rsidRPr="001B04AE">
        <w:rPr>
          <w:rFonts w:ascii="Cambria" w:hAnsi="Cambria"/>
          <w:b/>
        </w:rPr>
        <w:t xml:space="preserve">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w:t>
      </w:r>
      <w:r w:rsidRPr="001B04AE">
        <w:rPr>
          <w:rFonts w:ascii="Cambria" w:hAnsi="Cambria"/>
          <w:b/>
          <w:spacing w:val="-2"/>
        </w:rPr>
        <w:t>druga področja poslovanja</w:t>
      </w:r>
      <w:r w:rsidRPr="001B04AE">
        <w:rPr>
          <w:rFonts w:ascii="Cambria" w:hAnsi="Cambria"/>
          <w:b/>
        </w:rPr>
        <w:t xml:space="preserve">. </w:t>
      </w:r>
      <w:r w:rsidRPr="001B04AE">
        <w:rPr>
          <w:rFonts w:ascii="Cambria" w:hAnsi="Cambria"/>
        </w:rPr>
        <w:t>Cilj revizije je bil izrek mnenja o pravilnosti poslovanja Občine Lovrenc na Pohorju v letu 2019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w:t>
      </w:r>
      <w:r w:rsidRPr="001B04AE">
        <w:rPr>
          <w:rFonts w:ascii="Cambria" w:hAnsi="Cambria"/>
          <w:spacing w:val="-2"/>
        </w:rPr>
        <w:t xml:space="preserve"> druga področja poslovanja.</w:t>
      </w:r>
    </w:p>
    <w:p w14:paraId="3BD64859" w14:textId="110DB253" w:rsidR="001B04AE" w:rsidRPr="001B04AE" w:rsidRDefault="001B04AE" w:rsidP="001B04AE">
      <w:pPr>
        <w:widowControl/>
        <w:adjustRightInd w:val="0"/>
        <w:snapToGrid w:val="0"/>
        <w:spacing w:before="240" w:after="240" w:line="280" w:lineRule="exact"/>
        <w:contextualSpacing w:val="0"/>
        <w:jc w:val="both"/>
        <w:rPr>
          <w:rFonts w:ascii="Cambria" w:hAnsi="Cambria"/>
          <w:sz w:val="20"/>
        </w:rPr>
      </w:pPr>
      <w:r w:rsidRPr="001B04AE">
        <w:rPr>
          <w:rFonts w:ascii="Cambria" w:hAnsi="Cambria"/>
          <w:bCs/>
          <w:sz w:val="20"/>
        </w:rPr>
        <w:t xml:space="preserve">Računsko sodišče je o pravilnosti dela poslovanja Občine Lovrenc na Pohorju v letu 2019 izreklo </w:t>
      </w:r>
      <w:r w:rsidR="00895658" w:rsidRPr="00791621">
        <w:rPr>
          <w:rStyle w:val="RStekstBoldbarva"/>
        </w:rPr>
        <w:t>mnenje s pridržkom,</w:t>
      </w:r>
      <w:r w:rsidR="00895658" w:rsidRPr="00791621">
        <w:t xml:space="preserve"> </w:t>
      </w:r>
      <w:bookmarkStart w:id="0" w:name="_GoBack"/>
      <w:bookmarkEnd w:id="0"/>
      <w:r w:rsidRPr="001B04AE">
        <w:rPr>
          <w:rFonts w:ascii="Cambria" w:hAnsi="Cambria"/>
          <w:bCs/>
          <w:sz w:val="20"/>
        </w:rPr>
        <w:t>ker občina ni poslovala v skladu s predpisi in pogodbenimi določili v </w:t>
      </w:r>
      <w:r w:rsidRPr="001B04AE">
        <w:rPr>
          <w:rFonts w:ascii="Cambria" w:hAnsi="Cambria"/>
          <w:sz w:val="20"/>
        </w:rPr>
        <w:t>naslednjih primerih:</w:t>
      </w:r>
    </w:p>
    <w:p w14:paraId="26A25DDE"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sz w:val="20"/>
        </w:rPr>
        <w:t>obrazložitve proračuna za leto 2019 ter poročilo o doseženih ciljih in rezultatih niso popolni; poročilo o izvrševanju proračuna v prvem polletju 2019 je bilo občinskim svetnikom posredovano prepozno;</w:t>
      </w:r>
    </w:p>
    <w:p w14:paraId="3DF7D7D4"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sz w:val="20"/>
        </w:rPr>
        <w:t>v prodajni pogodbi je določila rok za plačilo dela kupnine, ki je bil daljši kot 30 dni od sklenitve pogodbe; prostorov ni oddala v najem po eni od predpisanih metod oddaje nepremičnega premoženja v najem ter z najemnico ni sklenila najemne pogodbe; 7 društvom ni zaračunala najemnine za občasno uporabo prostorov Prireditvenega centra in dvorane Kulturnega doma</w:t>
      </w:r>
      <w:r w:rsidRPr="001B04AE">
        <w:rPr>
          <w:rFonts w:ascii="Cambria" w:hAnsi="Cambria"/>
          <w:bCs/>
          <w:sz w:val="20"/>
        </w:rPr>
        <w:t>;</w:t>
      </w:r>
      <w:r w:rsidRPr="001B04AE">
        <w:rPr>
          <w:rFonts w:ascii="Cambria" w:hAnsi="Cambria"/>
          <w:sz w:val="20"/>
        </w:rPr>
        <w:t xml:space="preserve"> ni uskladila Cenika najemnin – uporabnin prostorov Kulturnega doma in Prireditvenega centra oziroma do konca leta 2019 ni sprejela cenika uporabnine za oddajo nepremičnega premoženja občine v občasno uporabo, ki bi določil uporabnino po posameznih urah ali dnevih; 1-krat letno ni usklajevala Cenika najemnin – uporabnin prostorov Kulturnega doma in Prireditvenega centra z indeksom rasti življenjskih potrebščin v skladu z določbami navedenega cenika;</w:t>
      </w:r>
    </w:p>
    <w:p w14:paraId="681FB31C"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lang w:eastAsia="sl-SI"/>
        </w:rPr>
      </w:pPr>
      <w:r w:rsidRPr="001B04AE">
        <w:rPr>
          <w:rFonts w:ascii="Cambria" w:hAnsi="Cambria"/>
          <w:sz w:val="20"/>
        </w:rPr>
        <w:t>dopustila je, da je nekatere najemne pogodbe in anekse k najemnim pogodbam z najemniki v imenu občine sklepala družba UPRA-STAN d.o.o., kljub temu da občina z njo ni imela sklenjene pogodbe za storitve upravljanja, s katero bi lahko dogovorila tudi sklepanje pogodb z najemniki</w:t>
      </w:r>
      <w:r w:rsidRPr="001B04AE">
        <w:rPr>
          <w:rFonts w:ascii="Cambria" w:hAnsi="Cambria"/>
          <w:sz w:val="20"/>
          <w:lang w:eastAsia="sl-SI"/>
        </w:rPr>
        <w:t>;</w:t>
      </w:r>
    </w:p>
    <w:p w14:paraId="232723DF"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bCs/>
          <w:sz w:val="20"/>
        </w:rPr>
        <w:t>v postopku oddaje prostorov v najem</w:t>
      </w:r>
      <w:r w:rsidRPr="001B04AE">
        <w:rPr>
          <w:rFonts w:ascii="Cambria" w:hAnsi="Cambria"/>
          <w:sz w:val="20"/>
        </w:rPr>
        <w:t xml:space="preserve"> ni pripravila posamičnega programa upravljanja; v</w:t>
      </w:r>
      <w:r w:rsidRPr="001B04AE">
        <w:rPr>
          <w:rFonts w:ascii="Cambria" w:hAnsi="Cambria"/>
          <w:sz w:val="20"/>
          <w:lang w:eastAsia="sl-SI"/>
        </w:rPr>
        <w:t xml:space="preserve"> 2 primerih oddaje prostorov v najem ni objavila namere o oddaji stvarnega premoženja v najem; </w:t>
      </w:r>
      <w:r w:rsidRPr="001B04AE">
        <w:rPr>
          <w:rFonts w:ascii="Cambria" w:hAnsi="Cambria"/>
          <w:bCs/>
          <w:sz w:val="20"/>
        </w:rPr>
        <w:t>v 5 primerih je pri zaračunavanju najemnine ravnala v neskladju s pogodbenimi določili;</w:t>
      </w:r>
    </w:p>
    <w:p w14:paraId="2F97EEAA"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szCs w:val="22"/>
        </w:rPr>
      </w:pPr>
      <w:r w:rsidRPr="001B04AE">
        <w:rPr>
          <w:rFonts w:ascii="Cambria" w:hAnsi="Cambria"/>
          <w:sz w:val="20"/>
          <w:lang w:eastAsia="sl-SI"/>
        </w:rPr>
        <w:lastRenderedPageBreak/>
        <w:t xml:space="preserve">v 3 primerih ni poslala v objavo obvestila o spremembi pogodbe o izvedbi javnega naročila v času njegove veljavnosti, v 2 primerih pa je prepozno poslala v objavo obvestilo o spremembi pogodbe o izvedbi javnega naročila v času njegove veljavnosti; </w:t>
      </w:r>
    </w:p>
    <w:p w14:paraId="72ABC2A0"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sz w:val="20"/>
          <w:lang w:eastAsia="sl-SI"/>
        </w:rPr>
        <w:t xml:space="preserve">oddala je javno naročilo za investicijo, za katero v veljavnem načrtu razvojnih programov ni imela zagotovljenih zadosti sredstev; </w:t>
      </w:r>
      <w:r w:rsidRPr="001B04AE">
        <w:rPr>
          <w:rFonts w:ascii="Cambria" w:hAnsi="Cambria"/>
          <w:sz w:val="20"/>
        </w:rPr>
        <w:t>v naročilnico ni vključila protikorupcijske klavzule;</w:t>
      </w:r>
    </w:p>
    <w:p w14:paraId="42567048"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sz w:val="20"/>
        </w:rPr>
        <w:t>ni zagotovila sredstev za prevoze 28 učencev, kljub temu da so imeli pravico do brezplačnega prevoza; v pogodbo o sofinanciranju dejavnosti osnovnošolskega izobraževanja ni vključila protikorupcijske klavzule;</w:t>
      </w:r>
    </w:p>
    <w:p w14:paraId="091E5340"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sz w:val="20"/>
        </w:rPr>
        <w:t>ni sprejela odloka, v katerem bi podrobneje določila sofinanciranje programov športa; objava javnega razpisa na področju športa ni vsebovala vseh predpisanih sestavin; v javnem razpisu na področju športa je navedla neustrezne programe ter uporabila neustrezna merila (izvajalcem športa je v letu 2019 izplačala sredstva v skupnem znesku 20.635 EUR); 8 izvajalcem športnih programov je poleg sredstev, dodeljenih na podlagi javnega razpisa na področju športa, na podlagi sklepov župana dodelila in izplačala sredstva v skupnem znesku 18.242 EUR, ne da bi prej izvedla javni razpis;</w:t>
      </w:r>
    </w:p>
    <w:p w14:paraId="6B6C7099"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sz w:val="20"/>
        </w:rPr>
        <w:t>objava javnega razpisa in razpisna dokumentacija za sofinanciranje programov javnih prireditev nista vsebovali vseh obveznih sestavin; 9 prejemnikom na področju sofinanciranja programov javnih prireditev in na drugih področjih je dodelila in izplačala sredstva v znesku 2.798 EUR, ne da bi prej izvedla javni razpis;</w:t>
      </w:r>
    </w:p>
    <w:p w14:paraId="3A28A02F"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sz w:val="20"/>
        </w:rPr>
        <w:t>9 nepridobitnim organizacijam in ustanovam na različnih področjih delovanja je dodelila sredstva v skupnem znesku 2.798 EUR, ne da bi prej sklenila pogodbe o dodelitvi sredstev;</w:t>
      </w:r>
    </w:p>
    <w:p w14:paraId="4395F5A1"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rPr>
      </w:pPr>
      <w:r w:rsidRPr="001B04AE">
        <w:rPr>
          <w:rFonts w:ascii="Cambria" w:hAnsi="Cambria"/>
          <w:sz w:val="20"/>
        </w:rPr>
        <w:t>v svetovni splet ni posredovala vseh dokumentov z javnega razpisa na področju športa in javnega razpisa za sofinanciranje programov javnih prireditev;</w:t>
      </w:r>
    </w:p>
    <w:p w14:paraId="6AFCF10F"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lang w:eastAsia="sl-SI"/>
        </w:rPr>
      </w:pPr>
      <w:r w:rsidRPr="001B04AE">
        <w:rPr>
          <w:rFonts w:ascii="Cambria" w:hAnsi="Cambria"/>
          <w:sz w:val="20"/>
        </w:rPr>
        <w:t xml:space="preserve">ni v celoti izvajala nadzora nad zadolževanjem pravnih oseb javnega sektorja na ravni občine; </w:t>
      </w:r>
      <w:r w:rsidRPr="001B04AE">
        <w:rPr>
          <w:rFonts w:ascii="Cambria" w:hAnsi="Cambria"/>
          <w:sz w:val="20"/>
          <w:lang w:eastAsia="sl-SI"/>
        </w:rPr>
        <w:t>v odloku o proračunu občine za leto 2019 ni določila obsega zadolževanja pravnih oseb javnega sektorja na ravni občine</w:t>
      </w:r>
      <w:r w:rsidRPr="001B04AE">
        <w:rPr>
          <w:rFonts w:ascii="Cambria" w:hAnsi="Cambria"/>
          <w:sz w:val="20"/>
        </w:rPr>
        <w:t xml:space="preserve">; </w:t>
      </w:r>
      <w:r w:rsidRPr="001B04AE">
        <w:rPr>
          <w:rFonts w:ascii="Cambria" w:hAnsi="Cambria"/>
          <w:sz w:val="20"/>
          <w:lang w:eastAsia="sl-SI"/>
        </w:rPr>
        <w:t xml:space="preserve">od </w:t>
      </w:r>
      <w:r w:rsidRPr="001B04AE">
        <w:rPr>
          <w:rFonts w:ascii="Cambria" w:hAnsi="Cambria"/>
          <w:sz w:val="20"/>
        </w:rPr>
        <w:t>3 javnih podjetij, katerih soustanoviteljica je, do 15. 1. 2020 ni pridobila podatkov o stanju njihove zadolženosti na dan 31. 12. 2019</w:t>
      </w:r>
      <w:r w:rsidRPr="001B04AE">
        <w:rPr>
          <w:rFonts w:ascii="Cambria" w:hAnsi="Cambria"/>
          <w:sz w:val="20"/>
          <w:lang w:eastAsia="sl-SI"/>
        </w:rPr>
        <w:t>;</w:t>
      </w:r>
    </w:p>
    <w:p w14:paraId="04B8C8E9" w14:textId="77777777" w:rsidR="001B04AE" w:rsidRPr="001B04AE" w:rsidRDefault="001B04AE" w:rsidP="001B04AE">
      <w:pPr>
        <w:keepLines/>
        <w:widowControl/>
        <w:numPr>
          <w:ilvl w:val="0"/>
          <w:numId w:val="8"/>
        </w:numPr>
        <w:adjustRightInd w:val="0"/>
        <w:snapToGrid w:val="0"/>
        <w:spacing w:before="0" w:after="40" w:line="280" w:lineRule="exact"/>
        <w:contextualSpacing w:val="0"/>
        <w:jc w:val="both"/>
        <w:rPr>
          <w:rFonts w:ascii="Cambria" w:hAnsi="Cambria"/>
          <w:sz w:val="20"/>
          <w:lang w:eastAsia="sl-SI"/>
        </w:rPr>
      </w:pPr>
      <w:r w:rsidRPr="001B04AE">
        <w:rPr>
          <w:rFonts w:ascii="Cambria" w:hAnsi="Cambria"/>
          <w:sz w:val="20"/>
        </w:rPr>
        <w:t>ni imenovala podžupana občine</w:t>
      </w:r>
      <w:r w:rsidRPr="001B04AE">
        <w:rPr>
          <w:rFonts w:ascii="Cambria" w:hAnsi="Cambria"/>
          <w:sz w:val="20"/>
          <w:lang w:eastAsia="sl-SI"/>
        </w:rPr>
        <w:t>.</w:t>
      </w:r>
    </w:p>
    <w:p w14:paraId="78132896" w14:textId="40003AE2" w:rsidR="005C0F92" w:rsidRPr="001B04AE" w:rsidRDefault="001B04AE" w:rsidP="001B04AE">
      <w:pPr>
        <w:pStyle w:val="RStekst"/>
      </w:pPr>
      <w:r w:rsidRPr="001B04AE">
        <w:t xml:space="preserve">Računsko sodišče je Občini Lovrenc na Pohorju podalo </w:t>
      </w:r>
      <w:r w:rsidRPr="001B04AE">
        <w:rPr>
          <w:rStyle w:val="RStekstBold"/>
        </w:rPr>
        <w:t>priporočila</w:t>
      </w:r>
      <w:r w:rsidRPr="001B04AE">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65BB3A89" w14:textId="77777777" w:rsidR="00E2363B" w:rsidRDefault="00E2363B" w:rsidP="008629A2">
      <w:pPr>
        <w:pStyle w:val="RStekst"/>
      </w:pPr>
    </w:p>
    <w:p w14:paraId="35897DF7" w14:textId="68B0E7D8" w:rsidR="008629A2" w:rsidRDefault="008629A2" w:rsidP="008629A2">
      <w:pPr>
        <w:pStyle w:val="RStekst"/>
      </w:pPr>
      <w:r>
        <w:t xml:space="preserve">Ljubljana, </w:t>
      </w:r>
      <w:r w:rsidR="00E2363B">
        <w:t>18.</w:t>
      </w:r>
      <w:r w:rsidR="005C0F92">
        <w:t xml:space="preserve"> </w:t>
      </w:r>
      <w:r w:rsidR="009507D6">
        <w:t>maja</w:t>
      </w:r>
      <w:r w:rsidR="005C0F92">
        <w:t xml:space="preserve">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0BBF0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89565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A1F47C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9565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8A2C0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8A2C00"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8A2C00"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8A2C00"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B86300"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8F8B89"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8A2C00"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8A2C00"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86AD6"/>
    <w:rsid w:val="00097B14"/>
    <w:rsid w:val="000A0B85"/>
    <w:rsid w:val="000A4363"/>
    <w:rsid w:val="000A6991"/>
    <w:rsid w:val="000A727E"/>
    <w:rsid w:val="000B44B9"/>
    <w:rsid w:val="000D5FEF"/>
    <w:rsid w:val="000F09C0"/>
    <w:rsid w:val="000F4860"/>
    <w:rsid w:val="000F4FCD"/>
    <w:rsid w:val="001047C8"/>
    <w:rsid w:val="00110856"/>
    <w:rsid w:val="00113B06"/>
    <w:rsid w:val="00115FF1"/>
    <w:rsid w:val="0013072A"/>
    <w:rsid w:val="001367FE"/>
    <w:rsid w:val="001379AA"/>
    <w:rsid w:val="00142BDB"/>
    <w:rsid w:val="00142EF5"/>
    <w:rsid w:val="00167C15"/>
    <w:rsid w:val="00185FC3"/>
    <w:rsid w:val="001908F7"/>
    <w:rsid w:val="001932BD"/>
    <w:rsid w:val="001B04AE"/>
    <w:rsid w:val="001C4778"/>
    <w:rsid w:val="001D390E"/>
    <w:rsid w:val="001D3BBB"/>
    <w:rsid w:val="001E0C89"/>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11BB"/>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C0F92"/>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56AA"/>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6F33"/>
    <w:rsid w:val="00867B88"/>
    <w:rsid w:val="008743AA"/>
    <w:rsid w:val="008759C3"/>
    <w:rsid w:val="00882D1D"/>
    <w:rsid w:val="0088333D"/>
    <w:rsid w:val="00890B44"/>
    <w:rsid w:val="00895658"/>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507D6"/>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04DE0"/>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F22ED"/>
    <w:rsid w:val="00D05FB5"/>
    <w:rsid w:val="00D32146"/>
    <w:rsid w:val="00D40E6D"/>
    <w:rsid w:val="00D41BCF"/>
    <w:rsid w:val="00D4218B"/>
    <w:rsid w:val="00D51804"/>
    <w:rsid w:val="00D52EF3"/>
    <w:rsid w:val="00D611CF"/>
    <w:rsid w:val="00D65B0F"/>
    <w:rsid w:val="00D72411"/>
    <w:rsid w:val="00D862FB"/>
    <w:rsid w:val="00DA6A15"/>
    <w:rsid w:val="00DB2E3D"/>
    <w:rsid w:val="00DB3BD9"/>
    <w:rsid w:val="00DC503C"/>
    <w:rsid w:val="00DD5D3A"/>
    <w:rsid w:val="00DD749A"/>
    <w:rsid w:val="00DE4510"/>
    <w:rsid w:val="00DE4680"/>
    <w:rsid w:val="00E00DDB"/>
    <w:rsid w:val="00E11957"/>
    <w:rsid w:val="00E2363B"/>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8A2C00"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8A2C00"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EF7D00" w:themeColor="accent3"/>
          <w:left w:val="nil"/>
          <w:bottom w:val="single" w:sz="12" w:space="0" w:color="EF7D00" w:themeColor="accent3"/>
          <w:right w:val="nil"/>
          <w:insideH w:val="nil"/>
          <w:insideV w:val="nil"/>
          <w:tl2br w:val="nil"/>
          <w:tr2bl w:val="nil"/>
        </w:tcBorders>
        <w:shd w:val="clear" w:color="auto" w:fill="FFCB92" w:themeFill="accent3" w:themeFillTint="66"/>
      </w:tcPr>
    </w:tblStylePr>
    <w:tblStylePr w:type="lastRow">
      <w:tblPr/>
      <w:tcPr>
        <w:tcBorders>
          <w:bottom w:val="single" w:sz="12" w:space="0" w:color="EF7D00"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B86300"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FFA43B" w:themeColor="accent2" w:themeTint="99"/>
        <w:bottom w:val="single" w:sz="12" w:space="4" w:color="FFA43B"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FFE5C8" w:themeColor="accent3" w:themeTint="33"/>
        <w:left w:val="single" w:sz="48" w:space="0" w:color="FFE5C8" w:themeColor="accent3" w:themeTint="33"/>
        <w:bottom w:val="single" w:sz="48" w:space="4" w:color="FFE5C8" w:themeColor="accent3" w:themeTint="33"/>
        <w:right w:val="single" w:sz="48" w:space="0" w:color="FFE5C8" w:themeColor="accent3" w:themeTint="33"/>
      </w:pBdr>
      <w:shd w:val="clear" w:color="auto" w:fill="FFE5C8"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FFA43B" w:themeColor="accent2" w:themeTint="99"/>
        <w:left w:val="single" w:sz="18" w:space="15" w:color="FFA43B" w:themeColor="accent2" w:themeTint="99"/>
        <w:bottom w:val="single" w:sz="18" w:space="8" w:color="FFA43B" w:themeColor="accent2" w:themeTint="99"/>
        <w:right w:val="single" w:sz="18" w:space="15" w:color="FFA43B"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CFCFCF" w:themeColor="background2" w:themeShade="E6"/>
        <w:left w:val="single" w:sz="4" w:space="0" w:color="CFCFCF" w:themeColor="background2" w:themeShade="E6"/>
        <w:bottom w:val="single" w:sz="4" w:space="0" w:color="CFCFCF" w:themeColor="background2" w:themeShade="E6"/>
        <w:right w:val="single" w:sz="4" w:space="0" w:color="CFCFCF" w:themeColor="background2" w:themeShade="E6"/>
        <w:insideH w:val="single" w:sz="4" w:space="0" w:color="CFCFCF" w:themeColor="background2" w:themeShade="E6"/>
        <w:insideV w:val="single" w:sz="4" w:space="0" w:color="CFCFCF"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FFA43B" w:themeColor="accent2" w:themeTint="99"/>
        <w:bottom w:val="single" w:sz="4" w:space="4" w:color="FFA43B"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B86300"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CFCFCF"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CACAC" w:themeColor="background2" w:themeShade="BF"/>
        <w:bottom w:val="dotted" w:sz="4" w:space="0" w:color="ACACAC" w:themeColor="background2" w:themeShade="BF"/>
        <w:insideH w:val="dotted" w:sz="4" w:space="0" w:color="ACACAC"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nhideWhenUsed/>
    <w:rsid w:val="009B7DF9"/>
    <w:pPr>
      <w:tabs>
        <w:tab w:val="center" w:pos="4536"/>
        <w:tab w:val="right" w:pos="9072"/>
      </w:tabs>
      <w:spacing w:before="0" w:after="0"/>
    </w:pPr>
  </w:style>
  <w:style w:type="character" w:customStyle="1" w:styleId="GlavaZnak">
    <w:name w:val="Glava Znak"/>
    <w:basedOn w:val="Privzetapisavaodstavka"/>
    <w:link w:val="Glava"/>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5C0F92"/>
    <w:rPr>
      <w:rFonts w:ascii="Garamond" w:hAnsi="Garamond"/>
      <w:sz w:val="22"/>
    </w:rPr>
  </w:style>
  <w:style w:type="character" w:customStyle="1" w:styleId="RSpodnaslov5Znak">
    <w:name w:val="RS podnaslov 5 Znak"/>
    <w:rsid w:val="005C0F92"/>
    <w:rPr>
      <w:rFonts w:ascii="Garamond" w:hAnsi="Garamond"/>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oranzna">
  <a:themeElements>
    <a:clrScheme name="RSRS-oranzna">
      <a:dk1>
        <a:srgbClr val="000000"/>
      </a:dk1>
      <a:lt1>
        <a:srgbClr val="FFFFFF"/>
      </a:lt1>
      <a:dk2>
        <a:srgbClr val="321F20"/>
      </a:dk2>
      <a:lt2>
        <a:srgbClr val="E6E6E6"/>
      </a:lt2>
      <a:accent1>
        <a:srgbClr val="8A2C00"/>
      </a:accent1>
      <a:accent2>
        <a:srgbClr val="B86300"/>
      </a:accent2>
      <a:accent3>
        <a:srgbClr val="EF7D00"/>
      </a:accent3>
      <a:accent4>
        <a:srgbClr val="F8B133"/>
      </a:accent4>
      <a:accent5>
        <a:srgbClr val="8F8B89"/>
      </a:accent5>
      <a:accent6>
        <a:srgbClr val="BCB9B8"/>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oranzna" id="{8C815100-C841-E04E-8531-1422A744F94F}" vid="{FBA3ADE9-00E6-B440-8B5A-B4D426CBEB0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2021-05-13T11:06:00Z</dcterms:created>
  <dcterms:modified xsi:type="dcterms:W3CDTF">2021-05-17T10:35:00Z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