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B915856" w:rsidR="008629A2" w:rsidRPr="00F4569E" w:rsidRDefault="008629A2" w:rsidP="008629A2">
      <w:pPr>
        <w:pStyle w:val="RSGLAVNINASLOV"/>
        <w:rPr>
          <w:spacing w:val="-2"/>
        </w:rPr>
      </w:pPr>
      <w:r w:rsidRPr="009176A9">
        <w:rPr>
          <w:spacing w:val="-2"/>
        </w:rPr>
        <w:t xml:space="preserve">Povzetek revizijskega poročila </w:t>
      </w:r>
      <w:r w:rsidR="005C0F92" w:rsidRPr="005C0F92">
        <w:rPr>
          <w:spacing w:val="-2"/>
        </w:rPr>
        <w:t>Pravilnost dela poslovanja Občine Hrpelje - Kozina</w:t>
      </w:r>
    </w:p>
    <w:p w14:paraId="0A915006" w14:textId="77777777" w:rsidR="005C0F92" w:rsidRPr="00380E20" w:rsidRDefault="005C0F92" w:rsidP="005C0F92">
      <w:pPr>
        <w:pStyle w:val="RStekst"/>
        <w:rPr>
          <w:spacing w:val="-2"/>
        </w:rPr>
      </w:pPr>
      <w:r w:rsidRPr="00380E20">
        <w:rPr>
          <w:spacing w:val="-2"/>
        </w:rPr>
        <w:t xml:space="preserve">Računsko sodišče je revidiralo pravilnost poslovanja Občine Hrpelje - Kozina v letu 2019 </w:t>
      </w:r>
      <w:r w:rsidRPr="00FC4397">
        <w:rPr>
          <w:b/>
          <w:spacing w:val="-2"/>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r w:rsidRPr="00380E20">
        <w:rPr>
          <w:spacing w:val="-2"/>
        </w:rPr>
        <w:t xml:space="preserve"> Cilj revizije je bil izrek mnenja o pravilnosti poslovanja Občine Hrpelje - Kozina v letu 2019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p>
    <w:p w14:paraId="03B7AFE1" w14:textId="77777777" w:rsidR="005C0F92" w:rsidRPr="00380E20" w:rsidRDefault="005C0F92" w:rsidP="005C0F92">
      <w:pPr>
        <w:pStyle w:val="RStekst"/>
        <w:rPr>
          <w:spacing w:val="-2"/>
        </w:rPr>
      </w:pPr>
      <w:r w:rsidRPr="00380E20">
        <w:rPr>
          <w:spacing w:val="-2"/>
        </w:rPr>
        <w:t xml:space="preserve">Računsko sodišče je o pravilnosti dela poslovanja Občine Hrpelje - Kozina v letu 2019 izreklo </w:t>
      </w:r>
      <w:r w:rsidRPr="00380E20">
        <w:rPr>
          <w:rStyle w:val="RStekstBoldbarva"/>
          <w:spacing w:val="-2"/>
        </w:rPr>
        <w:t>negativno mnenje,</w:t>
      </w:r>
      <w:r w:rsidRPr="00380E20">
        <w:rPr>
          <w:spacing w:val="-2"/>
        </w:rPr>
        <w:t xml:space="preserve"> ker občina ni poslovala v skladu s predpisi in pogodbenimi določili v naslednjih primerih:</w:t>
      </w:r>
    </w:p>
    <w:p w14:paraId="38E2F8F8" w14:textId="77777777" w:rsidR="005C0F92" w:rsidRDefault="005C0F92" w:rsidP="005C0F92">
      <w:pPr>
        <w:pStyle w:val="RSnatevanje"/>
      </w:pPr>
      <w:r>
        <w:rPr>
          <w:lang w:eastAsia="sl-SI"/>
        </w:rPr>
        <w:t xml:space="preserve">porabila je več sredstev, kot je bilo dopustno v obdobju začasnega financiranja; </w:t>
      </w:r>
      <w:r w:rsidRPr="00250737">
        <w:t xml:space="preserve">v splošnem in posebnem delu proračuna za leto 2019 </w:t>
      </w:r>
      <w:r>
        <w:t>ni</w:t>
      </w:r>
      <w:r w:rsidRPr="00250737">
        <w:t xml:space="preserve"> prikazala ocene realizacije prejemkov in </w:t>
      </w:r>
      <w:r>
        <w:t>izdatkov za </w:t>
      </w:r>
      <w:r w:rsidRPr="00250737">
        <w:t>leto 2017 ter ocene realizacije prejemkov in izdatkov za leto 2018</w:t>
      </w:r>
      <w:r>
        <w:t>; p</w:t>
      </w:r>
      <w:r w:rsidRPr="00926B2F">
        <w:t xml:space="preserve">oročilo o realizaciji proračuna v prvem polletju </w:t>
      </w:r>
      <w:r>
        <w:t xml:space="preserve">2019 </w:t>
      </w:r>
      <w:r w:rsidRPr="00926B2F">
        <w:t>je bilo posredovano občinskim svetnikom prepozno</w:t>
      </w:r>
      <w:r>
        <w:t xml:space="preserve">; </w:t>
      </w:r>
      <w:r w:rsidRPr="004D685A">
        <w:rPr>
          <w:lang w:eastAsia="sl-SI"/>
        </w:rPr>
        <w:t xml:space="preserve">obrazložitve proračuna za leto 2019, </w:t>
      </w:r>
      <w:r w:rsidRPr="004D685A">
        <w:t xml:space="preserve">poročilo o realizaciji proračuna v prvem polletju 2019, obrazložitev splošnega dela zaključnega računa proračuna za leto 2019 in </w:t>
      </w:r>
      <w:r w:rsidRPr="004D685A">
        <w:rPr>
          <w:lang w:eastAsia="sl-SI"/>
        </w:rPr>
        <w:t>poročilo o doseženih ciljih in rezultatih niso popolni</w:t>
      </w:r>
      <w:r w:rsidRPr="004D685A">
        <w:t>;</w:t>
      </w:r>
      <w:r w:rsidRPr="002625EA">
        <w:t xml:space="preserve"> </w:t>
      </w:r>
      <w:r w:rsidRPr="00776FB2">
        <w:rPr>
          <w:lang w:eastAsia="sl-SI"/>
        </w:rPr>
        <w:t>izplačala je več, kot je imela načrtovano na proračunskih postavkah</w:t>
      </w:r>
      <w:r>
        <w:rPr>
          <w:lang w:eastAsia="sl-SI"/>
        </w:rPr>
        <w:t xml:space="preserve">; </w:t>
      </w:r>
      <w:r w:rsidRPr="00FB4817">
        <w:t>ni mesečno načrtovala likvidnosti proračuna</w:t>
      </w:r>
      <w:r>
        <w:t xml:space="preserve">; </w:t>
      </w:r>
      <w:r w:rsidRPr="000E3B22">
        <w:t>ni vzpostavila sistema spremljanja prevzetih obveznosti v breme proračunov prihodnjih let</w:t>
      </w:r>
      <w:r>
        <w:t xml:space="preserve">; </w:t>
      </w:r>
      <w:r w:rsidRPr="004B7BDE">
        <w:t>pri plačilu obveznosti iz proračuna ni upoštevala zakonskih plačilnih rokov</w:t>
      </w:r>
      <w:r>
        <w:t>;</w:t>
      </w:r>
    </w:p>
    <w:p w14:paraId="76761EB4" w14:textId="77777777" w:rsidR="005C0F92" w:rsidRPr="00380E20" w:rsidRDefault="005C0F92" w:rsidP="005C0F92">
      <w:pPr>
        <w:pStyle w:val="RSnatevanje"/>
        <w:rPr>
          <w:spacing w:val="-2"/>
        </w:rPr>
      </w:pPr>
      <w:r w:rsidRPr="00380E20">
        <w:rPr>
          <w:spacing w:val="-2"/>
        </w:rPr>
        <w:t>ni vzpostavila ustrezne evidence o izdanih sklepih o prerazporeditvah; županja v drugi polovici leta 2019 ni 6-mesečno poročala občinskemu svetu o izvršenih</w:t>
      </w:r>
      <w:r>
        <w:rPr>
          <w:spacing w:val="-2"/>
        </w:rPr>
        <w:t xml:space="preserve"> prerazporeditvah; županja je s </w:t>
      </w:r>
      <w:r w:rsidRPr="00380E20">
        <w:rPr>
          <w:spacing w:val="-2"/>
        </w:rPr>
        <w:t>4 sklepi prerazporedila sredstva v skupnem znesku 118.597 EUR med neposrednimi uporabniki;</w:t>
      </w:r>
    </w:p>
    <w:p w14:paraId="2C84CCB6" w14:textId="77777777" w:rsidR="005C0F92" w:rsidRDefault="005C0F92" w:rsidP="005C0F92">
      <w:pPr>
        <w:pStyle w:val="RSnatevanje"/>
      </w:pPr>
      <w:r>
        <w:rPr>
          <w:lang w:eastAsia="sl-SI"/>
        </w:rPr>
        <w:t>ni zagotovila notranje revizije poslovanja za leto 2019;</w:t>
      </w:r>
    </w:p>
    <w:p w14:paraId="7DAE3C8D" w14:textId="77777777" w:rsidR="005C0F92" w:rsidRDefault="005C0F92" w:rsidP="005C0F92">
      <w:pPr>
        <w:pStyle w:val="RSnatevanje"/>
      </w:pPr>
      <w:r w:rsidRPr="0099072C">
        <w:rPr>
          <w:lang w:eastAsia="sl-SI"/>
        </w:rPr>
        <w:t>oddala</w:t>
      </w:r>
      <w:r>
        <w:rPr>
          <w:lang w:eastAsia="sl-SI"/>
        </w:rPr>
        <w:t xml:space="preserve"> je prostor v najem,</w:t>
      </w:r>
      <w:r w:rsidRPr="0099072C">
        <w:rPr>
          <w:lang w:eastAsia="sl-SI"/>
        </w:rPr>
        <w:t xml:space="preserve"> </w:t>
      </w:r>
      <w:r w:rsidRPr="0099072C">
        <w:t>čeprav ni imela veljavnega načrta oddaje nepremičnega premoženja v najem</w:t>
      </w:r>
      <w:r>
        <w:t>;</w:t>
      </w:r>
    </w:p>
    <w:p w14:paraId="2055F6A5" w14:textId="77777777" w:rsidR="005C0F92" w:rsidRPr="00380E20" w:rsidRDefault="005C0F92" w:rsidP="005C0F92">
      <w:pPr>
        <w:pStyle w:val="RSnatevanje"/>
        <w:keepLines w:val="0"/>
        <w:rPr>
          <w:spacing w:val="-2"/>
        </w:rPr>
      </w:pPr>
      <w:r w:rsidRPr="00380E20">
        <w:rPr>
          <w:spacing w:val="-2"/>
        </w:rPr>
        <w:t>ni izvedla oziroma zagotovila postopka zbiranja več ponudb za investicijska vlaganja v objekt (investicijska vlaganja najemnika so bila v letu 2019 poračunana z najemnino ter obratovalnimi stroški v znesku 1.655 EUR); vlaganja najemnika v nepremičnino je poračunala z najemnino zgolj na podlagi predračuna za izvedbo del in fotografije o izvedenih delih, pred poračunom najemnine pa ni preverila, ali predračun za izvedbo del predstavlja verodostojno knjigovodsko listino in s tem resnično in pošteno stanje višine stroškov najemnika, s tem ni izpolnila načela resničnosti;</w:t>
      </w:r>
    </w:p>
    <w:p w14:paraId="1CE3D084" w14:textId="77777777" w:rsidR="005C0F92" w:rsidRPr="00380E20" w:rsidRDefault="005C0F92" w:rsidP="005C0F92">
      <w:pPr>
        <w:pStyle w:val="RSnatevanje"/>
        <w:rPr>
          <w:spacing w:val="-2"/>
        </w:rPr>
      </w:pPr>
      <w:r w:rsidRPr="00380E20">
        <w:rPr>
          <w:spacing w:val="-2"/>
        </w:rPr>
        <w:lastRenderedPageBreak/>
        <w:t xml:space="preserve">v 4 primerih pred sklenitvijo neposredne najemne pogodbe na enotnem spletnem portalu oziroma spletni strani ni objavila namere o oddaji stvarnega premoženja; </w:t>
      </w:r>
      <w:r>
        <w:rPr>
          <w:spacing w:val="-2"/>
        </w:rPr>
        <w:t>v 8 primerih oddaje prostorov v </w:t>
      </w:r>
      <w:r w:rsidRPr="00380E20">
        <w:rPr>
          <w:spacing w:val="-2"/>
        </w:rPr>
        <w:t>najem ni imenovala skrbnika pravnega posla oziroma ga ni določila v pogodbi; v 1 primeru ni pripravila zapisnika o izročitvi prostora v najem in ni zapisniško ugotovila obstoječega stanja prostora;</w:t>
      </w:r>
    </w:p>
    <w:p w14:paraId="6AC310BF" w14:textId="77777777" w:rsidR="005C0F92" w:rsidRDefault="005C0F92" w:rsidP="005C0F92">
      <w:pPr>
        <w:pStyle w:val="RSnatevanje"/>
      </w:pPr>
      <w:r>
        <w:t>za oddajo poslovnega prostora ob kulturni dvorani in poslovnega prostora v Podružnični šoli Obrov ni sprejela cenika;</w:t>
      </w:r>
    </w:p>
    <w:p w14:paraId="58666373" w14:textId="77777777" w:rsidR="005C0F92" w:rsidRDefault="005C0F92" w:rsidP="005C0F92">
      <w:pPr>
        <w:pStyle w:val="RSnatevanje"/>
      </w:pPr>
      <w:r w:rsidRPr="008E4FDD">
        <w:t>od izvajalc</w:t>
      </w:r>
      <w:r>
        <w:t>ev</w:t>
      </w:r>
      <w:r w:rsidRPr="008E4FDD">
        <w:t xml:space="preserve"> ni pridobila povečanja vrednosti </w:t>
      </w:r>
      <w:r w:rsidRPr="008E4FDD">
        <w:rPr>
          <w:lang w:eastAsia="sl-SI"/>
        </w:rPr>
        <w:t>kavcijskega zavarovanja za dobro izvedbo pogodbenih obveznosti</w:t>
      </w:r>
      <w:r>
        <w:rPr>
          <w:lang w:eastAsia="sl-SI"/>
        </w:rPr>
        <w:t xml:space="preserve">, </w:t>
      </w:r>
      <w:r>
        <w:t xml:space="preserve">ustreznega </w:t>
      </w:r>
      <w:r w:rsidRPr="008E4FDD">
        <w:t>zavarovanja za dobro izvedbo pogodbenih obveznosti</w:t>
      </w:r>
      <w:r>
        <w:t xml:space="preserve"> zaradi podaljšanja roka izvedbe del in povečanja pogodbene vrednosti</w:t>
      </w:r>
      <w:r w:rsidRPr="008E4FDD">
        <w:t>;</w:t>
      </w:r>
      <w:r w:rsidRPr="008E4FDD">
        <w:rPr>
          <w:lang w:eastAsia="sl-SI"/>
        </w:rPr>
        <w:t xml:space="preserve"> </w:t>
      </w:r>
      <w:r w:rsidRPr="008E4FDD">
        <w:t>bančno garancijo za odpravo napak v garancijskem roku</w:t>
      </w:r>
      <w:r>
        <w:t xml:space="preserve"> je pridobila prepozno in v prenizki vrednosti</w:t>
      </w:r>
      <w:r w:rsidRPr="008E4FDD">
        <w:t>;</w:t>
      </w:r>
    </w:p>
    <w:p w14:paraId="6B021A7A" w14:textId="77777777" w:rsidR="005C0F92" w:rsidRDefault="005C0F92" w:rsidP="005C0F92">
      <w:pPr>
        <w:pStyle w:val="RSnatevanje"/>
      </w:pPr>
      <w:r w:rsidRPr="008E4FDD">
        <w:t>2 ponudb, ki sta presegali zagotovljena sredstva v proračunu občine, ni izločila kot nedopustnih (v letu 2019 je bilo skupaj izplačano 329.100 EUR)</w:t>
      </w:r>
      <w:r>
        <w:t xml:space="preserve">; v proračunu je zagotovila za 125.700 EUR premalo sredstev za pogodbeno prevzete obveznosti preteklega leta; </w:t>
      </w:r>
      <w:r w:rsidRPr="008E4FDD">
        <w:t xml:space="preserve">s sklenitvijo </w:t>
      </w:r>
      <w:r>
        <w:t>2</w:t>
      </w:r>
      <w:r w:rsidRPr="008E4FDD">
        <w:t xml:space="preserve"> pogodb in </w:t>
      </w:r>
      <w:r>
        <w:t>3 </w:t>
      </w:r>
      <w:r w:rsidRPr="008E4FDD">
        <w:t>aneks</w:t>
      </w:r>
      <w:r>
        <w:t>ov</w:t>
      </w:r>
      <w:r w:rsidRPr="008E4FDD">
        <w:t xml:space="preserve"> je prevzela za </w:t>
      </w:r>
      <w:r>
        <w:t>279.645</w:t>
      </w:r>
      <w:r w:rsidRPr="008E4FDD">
        <w:t xml:space="preserve"> EUR več obveznosti, kot je imela za ta namen načrtovanih sredstev na proračunski postavki (v letu 2019 je izvajalcema</w:t>
      </w:r>
      <w:r>
        <w:t xml:space="preserve"> in podizvajalcem</w:t>
      </w:r>
      <w:r w:rsidRPr="008E4FDD">
        <w:t xml:space="preserve"> plačala </w:t>
      </w:r>
      <w:r>
        <w:t>856.496 </w:t>
      </w:r>
      <w:r w:rsidRPr="008E4FDD">
        <w:t>EUR)</w:t>
      </w:r>
      <w:r>
        <w:t xml:space="preserve">; </w:t>
      </w:r>
      <w:r w:rsidRPr="008E4FDD">
        <w:t>v 2 primerih pred uvrstitvijo projekta v načrt razvojnih programov ni razpolagala z dokumentom identifikacije investicijskega projekta</w:t>
      </w:r>
      <w:r>
        <w:t xml:space="preserve">; </w:t>
      </w:r>
    </w:p>
    <w:p w14:paraId="4ABEA325" w14:textId="77777777" w:rsidR="005C0F92" w:rsidRPr="00380E20" w:rsidRDefault="005C0F92" w:rsidP="005C0F92">
      <w:pPr>
        <w:pStyle w:val="RSnatevanje"/>
        <w:rPr>
          <w:spacing w:val="-2"/>
        </w:rPr>
      </w:pPr>
      <w:r w:rsidRPr="00380E20">
        <w:rPr>
          <w:spacing w:val="-2"/>
        </w:rPr>
        <w:t>županja je prerazporejala pravice porabe sredstev na proračunski postavki, ki so bile že zasedene;</w:t>
      </w:r>
    </w:p>
    <w:p w14:paraId="0E85A0C8" w14:textId="77777777" w:rsidR="005C0F92" w:rsidRPr="0028717E" w:rsidRDefault="005C0F92" w:rsidP="005C0F92">
      <w:pPr>
        <w:pStyle w:val="RSnatevanje"/>
        <w:rPr>
          <w:rStyle w:val="RSpodnaslov4Znak"/>
        </w:rPr>
      </w:pPr>
      <w:r w:rsidRPr="0028717E">
        <w:t xml:space="preserve">društvu na področju kulture je dodelila in izplačala sredstva v znesku 2.500 EUR, ne da bi izvedla javni razpis in sklenila pogodbo; županja ni sprejela sklepa o začetku postopka za izbiro kulturnih programov in projektov; objava javnega razpisa na področju kulture ni vsebovala vseh obveznih sestavin; v javnem razpisu ni določila načina uporabe meril </w:t>
      </w:r>
      <w:r w:rsidRPr="0028717E">
        <w:rPr>
          <w:rStyle w:val="RSpodnaslov4Znak"/>
        </w:rPr>
        <w:t>(v letu 2019 je bilo izplačano 18.512</w:t>
      </w:r>
      <w:r w:rsidRPr="0028717E">
        <w:t xml:space="preserve"> </w:t>
      </w:r>
      <w:r w:rsidRPr="0028717E">
        <w:rPr>
          <w:rStyle w:val="RSpodnaslov4Znak"/>
        </w:rPr>
        <w:t xml:space="preserve">EUR); </w:t>
      </w:r>
      <w:r w:rsidRPr="0028717E">
        <w:t>določila je razpisni rok, krajši od 1 meseca;</w:t>
      </w:r>
      <w:r w:rsidRPr="0028717E">
        <w:rPr>
          <w:rStyle w:val="RSpodnaslov4Znak"/>
        </w:rPr>
        <w:t xml:space="preserve"> komisija za odpiranje vlog ni pripravila popolnega skupnega poročila;</w:t>
      </w:r>
    </w:p>
    <w:p w14:paraId="3775C012" w14:textId="77777777" w:rsidR="005C0F92" w:rsidRPr="0028717E" w:rsidRDefault="005C0F92" w:rsidP="005C0F92">
      <w:pPr>
        <w:pStyle w:val="RSnatevanje"/>
        <w:rPr>
          <w:rStyle w:val="RSpodnaslov5Znak"/>
          <w:bCs w:val="0"/>
        </w:rPr>
      </w:pPr>
      <w:r w:rsidRPr="0028717E">
        <w:rPr>
          <w:rStyle w:val="RSpodnaslov5Znak"/>
        </w:rPr>
        <w:t>objava javnega razpisa, razpisna dokumentacija in zapisnik za odpiranje vlog na področju letovanja za otroke in mlade niso vsebovali vseh obveznih sestavin;</w:t>
      </w:r>
    </w:p>
    <w:p w14:paraId="3B563AD8" w14:textId="77777777" w:rsidR="005C0F92" w:rsidRDefault="005C0F92" w:rsidP="005C0F92">
      <w:pPr>
        <w:pStyle w:val="RSnatevanje"/>
      </w:pPr>
      <w:r>
        <w:t xml:space="preserve">3 nepridobitnim organizacijam in ustanovam na različnih področjih delovanja </w:t>
      </w:r>
      <w:r w:rsidRPr="008E4FDD">
        <w:t xml:space="preserve">je dodelila in izplačala sredstva v znesku </w:t>
      </w:r>
      <w:r>
        <w:t>6</w:t>
      </w:r>
      <w:r w:rsidRPr="008E4FDD">
        <w:t>.500 EUR, ne</w:t>
      </w:r>
      <w:r>
        <w:t xml:space="preserve"> da bi izvedla javni razpis in sklenila pogodbo;</w:t>
      </w:r>
    </w:p>
    <w:p w14:paraId="761C552B" w14:textId="77777777" w:rsidR="005C0F92" w:rsidRDefault="005C0F92" w:rsidP="005C0F92">
      <w:pPr>
        <w:pStyle w:val="RSnatevanje"/>
      </w:pPr>
      <w:r w:rsidRPr="00114008">
        <w:rPr>
          <w:lang w:eastAsia="sl-SI"/>
        </w:rPr>
        <w:t xml:space="preserve">v svetovni splet ni posredovala vseh dokumentov iz </w:t>
      </w:r>
      <w:r w:rsidRPr="00114008" w:rsidDel="00D54189">
        <w:rPr>
          <w:lang w:eastAsia="sl-SI"/>
        </w:rPr>
        <w:t>javn</w:t>
      </w:r>
      <w:r>
        <w:rPr>
          <w:lang w:eastAsia="sl-SI"/>
        </w:rPr>
        <w:t>ega</w:t>
      </w:r>
      <w:r w:rsidRPr="00114008" w:rsidDel="00D54189">
        <w:rPr>
          <w:lang w:eastAsia="sl-SI"/>
        </w:rPr>
        <w:t xml:space="preserve"> razpis</w:t>
      </w:r>
      <w:r>
        <w:rPr>
          <w:lang w:eastAsia="sl-SI"/>
        </w:rPr>
        <w:t>a</w:t>
      </w:r>
      <w:r w:rsidRPr="00114008" w:rsidDel="00D54189">
        <w:rPr>
          <w:lang w:eastAsia="sl-SI"/>
        </w:rPr>
        <w:t xml:space="preserve"> na</w:t>
      </w:r>
      <w:r w:rsidRPr="00114008">
        <w:rPr>
          <w:lang w:eastAsia="sl-SI"/>
        </w:rPr>
        <w:t xml:space="preserve"> področju </w:t>
      </w:r>
      <w:r>
        <w:rPr>
          <w:lang w:eastAsia="sl-SI"/>
        </w:rPr>
        <w:t xml:space="preserve">športa, </w:t>
      </w:r>
      <w:r>
        <w:t>kulture in letovanja</w:t>
      </w:r>
      <w:r w:rsidRPr="00355946">
        <w:t xml:space="preserve"> za otroke</w:t>
      </w:r>
      <w:bookmarkStart w:id="0" w:name="_GoBack"/>
      <w:bookmarkEnd w:id="0"/>
      <w:r w:rsidRPr="00355946">
        <w:t xml:space="preserve"> in mlade</w:t>
      </w:r>
      <w:r>
        <w:t>;</w:t>
      </w:r>
    </w:p>
    <w:p w14:paraId="37FC579F" w14:textId="77777777" w:rsidR="005C0F92" w:rsidRPr="00D84013" w:rsidRDefault="005C0F92" w:rsidP="005C0F92">
      <w:pPr>
        <w:pStyle w:val="RSnatevanje"/>
      </w:pPr>
      <w:r w:rsidRPr="00F16C93">
        <w:t xml:space="preserve">v </w:t>
      </w:r>
      <w:r>
        <w:t xml:space="preserve">3 primerih v </w:t>
      </w:r>
      <w:r w:rsidRPr="00F16C93">
        <w:t xml:space="preserve">pogodbo ni </w:t>
      </w:r>
      <w:r w:rsidRPr="00F16C93">
        <w:rPr>
          <w:lang w:eastAsia="sl-SI"/>
        </w:rPr>
        <w:t>vključila protikorupcijske klavzule</w:t>
      </w:r>
      <w:r>
        <w:rPr>
          <w:lang w:eastAsia="sl-SI"/>
        </w:rPr>
        <w:t>;</w:t>
      </w:r>
    </w:p>
    <w:p w14:paraId="66BA321F" w14:textId="77777777" w:rsidR="005C0F92" w:rsidRDefault="005C0F92" w:rsidP="005C0F92">
      <w:pPr>
        <w:pStyle w:val="RSnatevanje"/>
      </w:pPr>
      <w:r w:rsidRPr="00776FB2">
        <w:rPr>
          <w:lang w:eastAsia="sl-SI"/>
        </w:rPr>
        <w:t>stanje likvidnostne zadolžitve občine je za 3</w:t>
      </w:r>
      <w:r>
        <w:rPr>
          <w:lang w:eastAsia="sl-SI"/>
        </w:rPr>
        <w:t>15 dni presegalo 5 %</w:t>
      </w:r>
      <w:r w:rsidRPr="00776FB2">
        <w:rPr>
          <w:lang w:eastAsia="sl-SI"/>
        </w:rPr>
        <w:t xml:space="preserve"> vseh izdatkov zadnjega sprejetega proračuna občine</w:t>
      </w:r>
      <w:r>
        <w:rPr>
          <w:lang w:eastAsia="sl-SI"/>
        </w:rPr>
        <w:t>;</w:t>
      </w:r>
    </w:p>
    <w:p w14:paraId="1021B46B" w14:textId="77777777" w:rsidR="005C0F92" w:rsidRPr="00380E20" w:rsidRDefault="005C0F92" w:rsidP="005C0F92">
      <w:pPr>
        <w:pStyle w:val="RSnatevanje"/>
        <w:rPr>
          <w:spacing w:val="-2"/>
        </w:rPr>
      </w:pPr>
      <w:r w:rsidRPr="00380E20">
        <w:rPr>
          <w:spacing w:val="-2"/>
        </w:rPr>
        <w:t xml:space="preserve">v odloku o proračunu občine za leto 2019 ni določila obsega zadolževanja pravnih oseb javnega sektorja na ravni občine; ni v celoti izvajala nadzora nad zadolževanjem pravnih oseb javnega sektorja na ravni občine; </w:t>
      </w:r>
      <w:r w:rsidRPr="00380E20">
        <w:rPr>
          <w:spacing w:val="-2"/>
          <w:lang w:eastAsia="sl-SI"/>
        </w:rPr>
        <w:t xml:space="preserve">od </w:t>
      </w:r>
      <w:r w:rsidRPr="00380E20">
        <w:rPr>
          <w:spacing w:val="-2"/>
        </w:rPr>
        <w:t>3 javnih zavodov, katerih soustanoviteljica oziroma soustanoviteljica je, ni pridobila podatkov o stanju njihove zadolženosti na dan 31. 12. 2019.</w:t>
      </w:r>
    </w:p>
    <w:p w14:paraId="78132896" w14:textId="77777777" w:rsidR="005C0F92" w:rsidRDefault="005C0F92" w:rsidP="005C0F92">
      <w:pPr>
        <w:pStyle w:val="RStekst"/>
      </w:pPr>
      <w:r w:rsidRPr="00D84013">
        <w:t xml:space="preserve">Računsko sodišče je Občini </w:t>
      </w:r>
      <w:r>
        <w:t>Hrpelje - Kozina</w:t>
      </w:r>
      <w:r w:rsidRPr="00D84013">
        <w:t xml:space="preserve"> podalo </w:t>
      </w:r>
      <w:r w:rsidRPr="005A5C8E">
        <w:rPr>
          <w:b/>
        </w:rPr>
        <w:t xml:space="preserve">priporočila </w:t>
      </w:r>
      <w:r w:rsidRPr="00D84013">
        <w:t>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35897DF7" w14:textId="29963EC1" w:rsidR="008629A2" w:rsidRDefault="008629A2" w:rsidP="008629A2">
      <w:pPr>
        <w:pStyle w:val="RStekst"/>
      </w:pPr>
      <w:r>
        <w:t xml:space="preserve">Ljubljana, </w:t>
      </w:r>
      <w:r w:rsidR="005C0F92">
        <w:t>19. aprila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E7CE0C5"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F4FCD">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0BA13D9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F4FC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0A441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0A4410"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0A441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0A4410"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B7813"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F8B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0A4410"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0A4410"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0F4FCD"/>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0C89"/>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C0F92"/>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04DE0"/>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F22ED"/>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0A4410"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0A4410"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749719" w:themeColor="accent3"/>
          <w:left w:val="nil"/>
          <w:bottom w:val="single" w:sz="12" w:space="0" w:color="749719" w:themeColor="accent3"/>
          <w:right w:val="nil"/>
          <w:insideH w:val="nil"/>
          <w:insideV w:val="nil"/>
          <w:tl2br w:val="nil"/>
          <w:tr2bl w:val="nil"/>
        </w:tcBorders>
        <w:shd w:val="clear" w:color="auto" w:fill="D1EC8C" w:themeFill="accent3" w:themeFillTint="66"/>
      </w:tcPr>
    </w:tblStylePr>
    <w:tblStylePr w:type="lastRow">
      <w:tblPr/>
      <w:tcPr>
        <w:tcBorders>
          <w:bottom w:val="single" w:sz="12" w:space="0" w:color="749719"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B7813"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B1E03E" w:themeColor="accent2" w:themeTint="99"/>
        <w:bottom w:val="single" w:sz="12" w:space="4" w:color="B1E03E"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8F5C5" w:themeColor="accent3" w:themeTint="33"/>
        <w:left w:val="single" w:sz="48" w:space="0" w:color="E8F5C5" w:themeColor="accent3" w:themeTint="33"/>
        <w:bottom w:val="single" w:sz="48" w:space="4" w:color="E8F5C5" w:themeColor="accent3" w:themeTint="33"/>
        <w:right w:val="single" w:sz="48" w:space="0" w:color="E8F5C5" w:themeColor="accent3" w:themeTint="33"/>
      </w:pBdr>
      <w:shd w:val="clear" w:color="auto" w:fill="E8F5C5"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B1E03E" w:themeColor="accent2" w:themeTint="99"/>
        <w:left w:val="single" w:sz="18" w:space="15" w:color="B1E03E" w:themeColor="accent2" w:themeTint="99"/>
        <w:bottom w:val="single" w:sz="18" w:space="8" w:color="B1E03E" w:themeColor="accent2" w:themeTint="99"/>
        <w:right w:val="single" w:sz="18" w:space="15" w:color="B1E03E"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CFCFCF" w:themeColor="background2" w:themeShade="E6"/>
        <w:left w:val="single" w:sz="4" w:space="0" w:color="CFCFCF" w:themeColor="background2" w:themeShade="E6"/>
        <w:bottom w:val="single" w:sz="4" w:space="0" w:color="CFCFCF" w:themeColor="background2" w:themeShade="E6"/>
        <w:right w:val="single" w:sz="4" w:space="0" w:color="CFCFCF" w:themeColor="background2" w:themeShade="E6"/>
        <w:insideH w:val="single" w:sz="4" w:space="0" w:color="CFCFCF" w:themeColor="background2" w:themeShade="E6"/>
        <w:insideV w:val="single" w:sz="4" w:space="0" w:color="CFCFCF"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B1E03E" w:themeColor="accent2" w:themeTint="99"/>
        <w:bottom w:val="single" w:sz="4" w:space="4" w:color="B1E03E"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B7813"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CFCFCF"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CACAC" w:themeColor="background2" w:themeShade="BF"/>
        <w:bottom w:val="dotted" w:sz="4" w:space="0" w:color="ACACAC" w:themeColor="background2" w:themeShade="BF"/>
        <w:insideH w:val="dotted" w:sz="4" w:space="0" w:color="ACACAC"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nhideWhenUsed/>
    <w:rsid w:val="009B7DF9"/>
    <w:pPr>
      <w:tabs>
        <w:tab w:val="center" w:pos="4536"/>
        <w:tab w:val="right" w:pos="9072"/>
      </w:tabs>
      <w:spacing w:before="0" w:after="0"/>
    </w:pPr>
  </w:style>
  <w:style w:type="character" w:customStyle="1" w:styleId="GlavaZnak">
    <w:name w:val="Glava Znak"/>
    <w:basedOn w:val="Privzetapisavaodstavka"/>
    <w:link w:val="Glava"/>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5C0F92"/>
    <w:rPr>
      <w:rFonts w:ascii="Garamond" w:hAnsi="Garamond"/>
      <w:sz w:val="22"/>
    </w:rPr>
  </w:style>
  <w:style w:type="character" w:customStyle="1" w:styleId="RSpodnaslov5Znak">
    <w:name w:val="RS podnaslov 5 Znak"/>
    <w:rsid w:val="005C0F92"/>
    <w:rPr>
      <w:rFonts w:ascii="Garamond" w:hAnsi="Garamond"/>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svetlo-zelena">
  <a:themeElements>
    <a:clrScheme name="RSRS-zelena">
      <a:dk1>
        <a:srgbClr val="000000"/>
      </a:dk1>
      <a:lt1>
        <a:srgbClr val="FFFFFF"/>
      </a:lt1>
      <a:dk2>
        <a:srgbClr val="242A1D"/>
      </a:dk2>
      <a:lt2>
        <a:srgbClr val="E6E6E6"/>
      </a:lt2>
      <a:accent1>
        <a:srgbClr val="0A4410"/>
      </a:accent1>
      <a:accent2>
        <a:srgbClr val="5B7813"/>
      </a:accent2>
      <a:accent3>
        <a:srgbClr val="749719"/>
      </a:accent3>
      <a:accent4>
        <a:srgbClr val="9EB65E"/>
      </a:accent4>
      <a:accent5>
        <a:srgbClr val="F8B14B"/>
      </a:accent5>
      <a:accent6>
        <a:srgbClr val="FFD759"/>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svetlo-zelena" id="{4E77ABE4-CD20-EF4C-8396-CA159359BA27}" vid="{D049C8C6-FC96-D243-AE92-5C6F7DA135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2021-04-08T06:31:00Z</dcterms:created>
  <dcterms:modified xsi:type="dcterms:W3CDTF">2021-04-09T07:12:00Z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