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2FFF2241" w:rsidR="008629A2" w:rsidRPr="00972322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06B4E">
        <w:rPr>
          <w:spacing w:val="-2"/>
        </w:rPr>
        <w:br/>
      </w:r>
      <w:r w:rsidR="00972322" w:rsidRPr="00972322">
        <w:rPr>
          <w:spacing w:val="2"/>
        </w:rPr>
        <w:t>Pravilnost dela poslovanja Občine Cerklje na Gorenjskem</w:t>
      </w:r>
    </w:p>
    <w:p w14:paraId="1C72064E" w14:textId="77777777" w:rsidR="00BA1942" w:rsidRPr="00782BDA" w:rsidRDefault="00BA1942" w:rsidP="00BA1942">
      <w:pPr>
        <w:pStyle w:val="RStekst"/>
      </w:pPr>
      <w:r w:rsidRPr="00782BDA">
        <w:t xml:space="preserve">Računsko sodišče je revidiralo pravilnost poslovanja </w:t>
      </w:r>
      <w:r w:rsidRPr="003450AE">
        <w:rPr>
          <w:b/>
        </w:rPr>
        <w:t xml:space="preserve">Občine Cerklje na Gorenjskem v letu 2019 </w:t>
      </w:r>
      <w:r>
        <w:rPr>
          <w:b/>
        </w:rPr>
        <w:t>v </w:t>
      </w:r>
      <w:r w:rsidRPr="00782BDA">
        <w:rPr>
          <w:b/>
        </w:rPr>
        <w:t>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</w:t>
      </w:r>
      <w:r w:rsidRPr="0066162E">
        <w:rPr>
          <w:b/>
        </w:rPr>
        <w:t xml:space="preserve">. </w:t>
      </w:r>
      <w:r w:rsidRPr="00782BDA">
        <w:t>Cilj revizije je bil izrek mnenja o pravilnosti poslovanja Občine Cerklje na Gorenjskem v letu 2019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5D6895EE" w14:textId="77777777" w:rsidR="00BA1942" w:rsidRPr="00782BDA" w:rsidRDefault="00BA1942" w:rsidP="00BA1942">
      <w:pPr>
        <w:pStyle w:val="RStekst"/>
      </w:pPr>
      <w:r w:rsidRPr="00782BDA">
        <w:t xml:space="preserve">Računsko sodišče je o pravilnosti dela poslovanja Občine Cerklje na Gorenjskem v letu 2019 izreklo </w:t>
      </w:r>
      <w:r w:rsidRPr="00D06B4E">
        <w:rPr>
          <w:b/>
        </w:rPr>
        <w:t>mnenje s pridržkom,</w:t>
      </w:r>
      <w:r w:rsidRPr="00D06B4E">
        <w:t xml:space="preserve"> ker občina ni poslovala v skladu s predpisi in pogodbenimi določili </w:t>
      </w:r>
      <w:r>
        <w:t>v </w:t>
      </w:r>
      <w:r w:rsidRPr="00782BDA">
        <w:t>naslednjih primerih:</w:t>
      </w:r>
    </w:p>
    <w:p w14:paraId="104CC320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ab/>
        <w:t xml:space="preserve">obrazložitve proračuna za leto 2019 in obrazložitev splošnega dela zaključnega računa proračuna občine za leto 2019 niso popolne; v splošnem in posebnem delu zaključnega računa proračuna občine za leto 2019 ni prikazala indeksa med realiziranim in sprejetim proračunom za leto 2019; v okviru obrazložitve posebnega dela zaključnega </w:t>
      </w:r>
      <w:r>
        <w:t>računa proračuna občine za </w:t>
      </w:r>
      <w:r w:rsidRPr="00782BDA">
        <w:t>leto 2019 ni pripravila poslovnega poročila s poročilom o do</w:t>
      </w:r>
      <w:r>
        <w:t>seženih ciljih in rezultatih; v </w:t>
      </w:r>
      <w:r w:rsidRPr="00782BDA">
        <w:t>odloku o proračunu občine za leto 2019 ni določila največjega možnega obsega obveznosti, ki zahtevajo plačilo v prihodnjih letih in jih lahko neposredni uporabnik p</w:t>
      </w:r>
      <w:r>
        <w:t>revzame v tekočem letu; župan v </w:t>
      </w:r>
      <w:r w:rsidRPr="00782BDA">
        <w:t>zaključnem računu proračuna občine za leto 2019 ni poročal o nekaterih izvršenih prerazporeditvah iz drugega polletja 2019;</w:t>
      </w:r>
    </w:p>
    <w:p w14:paraId="6BE6592C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ab/>
        <w:t>evidenca nepremičnega premoženja občine ne vsebuje vseh podatkov; v 4 primerih prodaje oziroma menjave nepremičnin in v 8 primerih oddaje prostorov v najem ni imenovala skrbnika pravnega posla oziroma ga ni določila v pogodbi; v 2 primerih menjave nepremičnin je zemljiškoknjižno dovolilo za vpis lastninske pravice v zemljiško knjigo vključila v pogodbo, ki je bila notarsko overjena in sposobna za vpis v zemljiško knjigo, pred prejemom celotne kupnine; v 2 primerih menjave nepremičnin je bilo plačilo kupnine izvedeno v roku, ki je bil daljši od 30 dni od odobritve pravnega posla s strani upravne enote; sklenila je menjalno pogodbo na podlagi metode neposredne pogodbe, čeprav niso bili izpolnjeni predpisani pogoji;</w:t>
      </w:r>
    </w:p>
    <w:p w14:paraId="7EF7CFD0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ab/>
        <w:t xml:space="preserve">v 2 primerih oddaje prostorov v najem ni pripravila posamičnega programa upravljanja; najemnikom ni predlagala sklenitve aneksov h krovni pogodbi, s katerimi bi določila višino vloženih sredstev v adaptacijo prostorov, in bi na podlagi tega lahko preverila upravičenost </w:t>
      </w:r>
      <w:r w:rsidRPr="00782BDA">
        <w:lastRenderedPageBreak/>
        <w:t>plačevanja znižane najemnine, s pogodbami ni določila končne površine in deleža površin med najemniki ter ni izvedla končnega poračuna vlaganj; pred</w:t>
      </w:r>
      <w:r>
        <w:t xml:space="preserve"> sklenitvijo pogodbe o oddaji v </w:t>
      </w:r>
      <w:r w:rsidRPr="00782BDA">
        <w:t>podnajem ni izdala soglasja za oddajo poslovnega prostora v podnajem; 2 uporabnikoma ni zaračunala zamudnih obresti za nepravočasno plačilo uporabnine;</w:t>
      </w:r>
    </w:p>
    <w:p w14:paraId="03EC4EE2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>obvestilo o oddaji javnega naročila je prepozno poslala v objavo na portal javnih naročil;</w:t>
      </w:r>
    </w:p>
    <w:p w14:paraId="1B9AF25F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ab/>
        <w:t>pri plačilu dela obveznosti iz proračuna ni upoštevala zakonskega plačilnega roka;</w:t>
      </w:r>
    </w:p>
    <w:p w14:paraId="2250D7D1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ab/>
        <w:t xml:space="preserve">10 društvom je dodelila in izplačala sredstva v skupnem znesku 42.000 EUR kot predplačilo, preden je bil izveden javni razpis na področju športa in pred sklenitvijo pogodb o dodelitvi sredstev; ni sprejela lokalnega programa za kulturo oziroma ni opredelila javnega interesa na področju kulture, prioritet, ukrepov ter ciljev in kazalcev za njihovo doseganje v drugem dokumentu razvojnega načrtovanja lokalne skupnosti; </w:t>
      </w:r>
      <w:r w:rsidRPr="00782BDA">
        <w:tab/>
        <w:t>2 društvoma je dodelila in izplačala sredstva v skupnem znesku 800 EUR, ne da bi prej izvedla javni razpis; objava javnega razpisa na področju programov in projektov za mlade ni vsebovala vseh zahtevanih vsebin;</w:t>
      </w:r>
    </w:p>
    <w:p w14:paraId="12743456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>od zasebnega zavoda, katerega ustanoviteljica je, ni pridobila podatkov o stanju njegove zadolženosti na dan 31. 12. 2019;</w:t>
      </w:r>
    </w:p>
    <w:p w14:paraId="0F087EB1" w14:textId="77777777" w:rsidR="00BA1942" w:rsidRPr="00782BDA" w:rsidRDefault="00BA1942" w:rsidP="00BA1942">
      <w:pPr>
        <w:pStyle w:val="RSnatevanje"/>
        <w:keepLines w:val="0"/>
        <w:spacing w:after="80"/>
      </w:pPr>
      <w:r w:rsidRPr="00782BDA">
        <w:tab/>
        <w:t xml:space="preserve">z ustanovitvijo in financiranjem zasebnega zavoda </w:t>
      </w:r>
      <w:r w:rsidRPr="00782BDA" w:rsidDel="00CD3B45">
        <w:t xml:space="preserve">z namenom zagotavljanja prostorov in izvajanja javne službe institucionalnega varstva starejših, </w:t>
      </w:r>
      <w:r w:rsidRPr="00782BDA">
        <w:t>ki je v pristojnosti države, je presegla svoje obvezne naloge in pospeševalno funkcijo na področju socialnega varstva ter posredno zagotovila financiranje investicije, ki bi se morala financirati iz državnega proračuna.</w:t>
      </w:r>
    </w:p>
    <w:p w14:paraId="61F2AB8C" w14:textId="11D2D5D0" w:rsidR="00BA1942" w:rsidRPr="00782BDA" w:rsidRDefault="00BA1942" w:rsidP="00BA1942">
      <w:pPr>
        <w:pStyle w:val="RStekst"/>
      </w:pPr>
      <w:r w:rsidRPr="00782BDA">
        <w:t xml:space="preserve">Računsko sodišče je od Občine Cerklje na Gorenjskem </w:t>
      </w:r>
      <w:r w:rsidRPr="0066162E">
        <w:rPr>
          <w:b/>
        </w:rPr>
        <w:t>zahtevalo</w:t>
      </w:r>
      <w:r w:rsidRPr="00782BDA">
        <w:t xml:space="preserve"> </w:t>
      </w:r>
      <w:r w:rsidRPr="00782BDA">
        <w:rPr>
          <w:b/>
        </w:rPr>
        <w:t>predložitev odzivnega poročila</w:t>
      </w:r>
      <w:r w:rsidRPr="00AB7FC1">
        <w:rPr>
          <w:b/>
        </w:rPr>
        <w:t>,</w:t>
      </w:r>
      <w:r>
        <w:t xml:space="preserve"> v </w:t>
      </w:r>
      <w:r w:rsidRPr="00782BDA">
        <w:t xml:space="preserve">katerem mora občina izkazati popravljalne ukrepe za odpravo ugotovljenih nepravilnosti, in podalo </w:t>
      </w:r>
      <w:r w:rsidRPr="00782BDA">
        <w:rPr>
          <w:b/>
        </w:rPr>
        <w:t>priporočila</w:t>
      </w:r>
      <w:r w:rsidRPr="00782BDA">
        <w:t xml:space="preserve"> za izboljšanje poslovanja.</w:t>
      </w:r>
    </w:p>
    <w:p w14:paraId="21CC44C3" w14:textId="3595EFFF" w:rsidR="003D1FAE" w:rsidRDefault="003D1FAE" w:rsidP="003D1FAE">
      <w:pPr>
        <w:pStyle w:val="RStekst"/>
      </w:pPr>
    </w:p>
    <w:p w14:paraId="35897DF7" w14:textId="7D7CF7DA" w:rsidR="008629A2" w:rsidRDefault="008629A2" w:rsidP="008629A2">
      <w:pPr>
        <w:pStyle w:val="RStekst"/>
      </w:pPr>
      <w:r>
        <w:t xml:space="preserve">Ljubljana, </w:t>
      </w:r>
      <w:r w:rsidR="00972322">
        <w:t>16. novembra 2021</w:t>
      </w: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773D351C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972322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615E9D5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972322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2322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942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06B4E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2021-11-15T12:18:00Z</dcterms:created>
  <dcterms:modified xsi:type="dcterms:W3CDTF">2021-11-15T14:17:00Z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