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29B01F16" w:rsidR="008629A2" w:rsidRPr="00F4569E" w:rsidRDefault="008629A2" w:rsidP="008629A2">
      <w:pPr>
        <w:pStyle w:val="RSGLAVNINASLOV"/>
        <w:rPr>
          <w:spacing w:val="-2"/>
        </w:rPr>
      </w:pPr>
      <w:r w:rsidRPr="009176A9">
        <w:rPr>
          <w:spacing w:val="-2"/>
        </w:rPr>
        <w:t xml:space="preserve">Povzetek revizijskega poročila </w:t>
      </w:r>
      <w:r w:rsidR="00476C91">
        <w:rPr>
          <w:spacing w:val="-2"/>
        </w:rPr>
        <w:br/>
      </w:r>
      <w:r w:rsidR="00476C91">
        <w:t>Učinkovitost Ministrstva za delo, družino, socialne zadeve in enake možnosti pri izvedbi javnega naročila za storitve projektnega vodenja priprave projekta Centrov za socialno delo Republike Slovenije ter storitev priprave in izvedbe komunikacijske strategije v podporo reorganizaciji za notranje in zunanje deležnike</w:t>
      </w:r>
    </w:p>
    <w:p w14:paraId="17D3E13E" w14:textId="77777777" w:rsidR="00816B57" w:rsidRPr="0011593F" w:rsidRDefault="00816B57" w:rsidP="00816B57">
      <w:pPr>
        <w:widowControl/>
        <w:adjustRightInd w:val="0"/>
        <w:snapToGrid w:val="0"/>
        <w:spacing w:before="240" w:after="240" w:line="280" w:lineRule="exact"/>
        <w:contextualSpacing w:val="0"/>
        <w:jc w:val="both"/>
        <w:rPr>
          <w:rFonts w:asciiTheme="minorHAnsi" w:hAnsiTheme="minorHAnsi"/>
          <w:bCs/>
          <w:sz w:val="20"/>
        </w:rPr>
      </w:pPr>
      <w:r w:rsidRPr="0011593F">
        <w:rPr>
          <w:rFonts w:asciiTheme="minorHAnsi" w:hAnsiTheme="minorHAnsi"/>
          <w:bCs/>
          <w:sz w:val="20"/>
        </w:rPr>
        <w:t xml:space="preserve">Računsko sodišče je revidiralo učinkovitost poslovanja </w:t>
      </w:r>
      <w:r w:rsidRPr="0011593F">
        <w:rPr>
          <w:rFonts w:asciiTheme="minorHAnsi" w:hAnsiTheme="minorHAnsi"/>
          <w:b/>
          <w:bCs/>
          <w:sz w:val="20"/>
        </w:rPr>
        <w:t>Ministrstva za delo, družino, socialne zadeve in enake možnosti</w:t>
      </w:r>
      <w:r w:rsidRPr="0011593F">
        <w:rPr>
          <w:rFonts w:asciiTheme="minorHAnsi" w:hAnsiTheme="minorHAnsi"/>
          <w:bCs/>
          <w:sz w:val="20"/>
        </w:rPr>
        <w:t xml:space="preserve"> (v nadaljevanju: ministrstvo) pri izvedbi javnega naročila za </w:t>
      </w:r>
      <w:r w:rsidRPr="0011593F">
        <w:rPr>
          <w:rFonts w:asciiTheme="minorHAnsi" w:hAnsiTheme="minorHAnsi"/>
          <w:bCs/>
          <w:iCs/>
          <w:sz w:val="20"/>
        </w:rPr>
        <w:t>storitve projektnega vodenja priprave projekta Centrov za socialno delo Republike Slovenije ter storitev priprave in izvedbe komunikacijske strategije v podporo reorganizaciji za notranje in zunanje deležnike</w:t>
      </w:r>
      <w:r w:rsidRPr="0011593F">
        <w:rPr>
          <w:rFonts w:asciiTheme="minorHAnsi" w:hAnsiTheme="minorHAnsi"/>
          <w:bCs/>
          <w:sz w:val="20"/>
        </w:rPr>
        <w:t>.</w:t>
      </w:r>
    </w:p>
    <w:p w14:paraId="3674C677" w14:textId="77777777" w:rsidR="00816B57" w:rsidRPr="0011593F" w:rsidRDefault="00816B57" w:rsidP="00816B57">
      <w:pPr>
        <w:widowControl/>
        <w:adjustRightInd w:val="0"/>
        <w:snapToGrid w:val="0"/>
        <w:spacing w:before="240" w:after="240" w:line="280" w:lineRule="exact"/>
        <w:contextualSpacing w:val="0"/>
        <w:jc w:val="both"/>
        <w:rPr>
          <w:rFonts w:asciiTheme="minorHAnsi" w:hAnsiTheme="minorHAnsi"/>
          <w:bCs/>
          <w:sz w:val="20"/>
        </w:rPr>
      </w:pPr>
      <w:r w:rsidRPr="0011593F">
        <w:rPr>
          <w:rFonts w:asciiTheme="minorHAnsi" w:hAnsiTheme="minorHAnsi"/>
          <w:b/>
          <w:bCs/>
          <w:sz w:val="20"/>
        </w:rPr>
        <w:t>Cilj revizije</w:t>
      </w:r>
      <w:r w:rsidRPr="0011593F">
        <w:rPr>
          <w:rFonts w:asciiTheme="minorHAnsi" w:hAnsiTheme="minorHAnsi"/>
          <w:bCs/>
          <w:sz w:val="20"/>
        </w:rPr>
        <w:t xml:space="preserve"> je bil izrek mnenja o učinkovitosti pri pripravi in izvedbi javnega naročila ter upravljanju s pogodbo.</w:t>
      </w:r>
    </w:p>
    <w:p w14:paraId="38EE8CE3" w14:textId="77777777" w:rsidR="00816B57" w:rsidRPr="0045474C" w:rsidRDefault="00816B57" w:rsidP="00816B57">
      <w:pPr>
        <w:widowControl/>
        <w:adjustRightInd w:val="0"/>
        <w:snapToGrid w:val="0"/>
        <w:spacing w:before="240" w:after="240" w:line="280" w:lineRule="exact"/>
        <w:contextualSpacing w:val="0"/>
        <w:jc w:val="both"/>
        <w:rPr>
          <w:rFonts w:asciiTheme="minorHAnsi" w:hAnsiTheme="minorHAnsi"/>
          <w:bCs/>
          <w:sz w:val="20"/>
        </w:rPr>
      </w:pPr>
      <w:r w:rsidRPr="0011593F">
        <w:rPr>
          <w:rFonts w:asciiTheme="minorHAnsi" w:hAnsiTheme="minorHAnsi"/>
          <w:bCs/>
          <w:sz w:val="20"/>
        </w:rPr>
        <w:t xml:space="preserve">Računsko sodišče je ugotovilo, da je bilo ministrstvo pri pripravi in izvedbi javnega naročila ter </w:t>
      </w:r>
      <w:bookmarkStart w:id="0" w:name="_GoBack"/>
      <w:r w:rsidRPr="0045474C">
        <w:rPr>
          <w:rFonts w:asciiTheme="minorHAnsi" w:hAnsiTheme="minorHAnsi"/>
          <w:bCs/>
          <w:sz w:val="20"/>
        </w:rPr>
        <w:t xml:space="preserve">upravljanju s pogodbo </w:t>
      </w:r>
      <w:r w:rsidRPr="0045474C">
        <w:rPr>
          <w:rFonts w:ascii="Cambria" w:hAnsi="Cambria"/>
          <w:b/>
          <w:sz w:val="20"/>
        </w:rPr>
        <w:t>delno učinkovito.</w:t>
      </w:r>
      <w:r w:rsidRPr="0045474C">
        <w:rPr>
          <w:rFonts w:asciiTheme="minorHAnsi" w:hAnsiTheme="minorHAnsi"/>
          <w:bCs/>
          <w:sz w:val="20"/>
        </w:rPr>
        <w:t xml:space="preserve"> </w:t>
      </w:r>
    </w:p>
    <w:bookmarkEnd w:id="0"/>
    <w:p w14:paraId="329FA925" w14:textId="77777777" w:rsidR="00816B57" w:rsidRPr="0011593F" w:rsidRDefault="00816B57" w:rsidP="00816B57">
      <w:pPr>
        <w:widowControl/>
        <w:adjustRightInd w:val="0"/>
        <w:snapToGrid w:val="0"/>
        <w:spacing w:before="240" w:after="240" w:line="280" w:lineRule="exact"/>
        <w:contextualSpacing w:val="0"/>
        <w:jc w:val="both"/>
        <w:rPr>
          <w:rFonts w:asciiTheme="minorHAnsi" w:hAnsiTheme="minorHAnsi"/>
          <w:bCs/>
          <w:spacing w:val="2"/>
          <w:sz w:val="20"/>
        </w:rPr>
      </w:pPr>
      <w:r w:rsidRPr="0011593F">
        <w:rPr>
          <w:rFonts w:asciiTheme="minorHAnsi" w:hAnsiTheme="minorHAnsi"/>
          <w:bCs/>
          <w:spacing w:val="2"/>
          <w:sz w:val="20"/>
        </w:rPr>
        <w:t>Ministrstvo je delno učinkovito utemeljilo potrebe za izvedbo javnega naročila. Potrebe za izvedbo javnega naročila so izhajale iz Resolucije o nacionalnem programu socialnega varstva za obdobje 2013–2020, katere cilji so bili povzeti v javnem naročilu. Ministrstvo se pri utemeljitvi potreb za izvedbo javnega naročila sklicuje na manko lastnih strokovnih znanj in na odločitve vodstva ministrstva, ki pa niso dokumentirane, zato navedb ministrstva v reviziji ni bilo mogoče preveriti, prav tako tudi ne, ali je ministrstvo analiziralo različne možnosti za dosego cilja.</w:t>
      </w:r>
    </w:p>
    <w:p w14:paraId="3228D1A0" w14:textId="77777777" w:rsidR="00816B57" w:rsidRPr="0011593F" w:rsidRDefault="00816B57" w:rsidP="00816B57">
      <w:pPr>
        <w:widowControl/>
        <w:adjustRightInd w:val="0"/>
        <w:snapToGrid w:val="0"/>
        <w:spacing w:before="240" w:after="240" w:line="280" w:lineRule="exact"/>
        <w:contextualSpacing w:val="0"/>
        <w:jc w:val="both"/>
        <w:rPr>
          <w:rFonts w:asciiTheme="minorHAnsi" w:hAnsiTheme="minorHAnsi"/>
          <w:bCs/>
          <w:spacing w:val="2"/>
          <w:sz w:val="20"/>
          <w:lang w:eastAsia="sl-SI"/>
        </w:rPr>
      </w:pPr>
      <w:r w:rsidRPr="0011593F">
        <w:rPr>
          <w:rFonts w:asciiTheme="minorHAnsi" w:hAnsiTheme="minorHAnsi"/>
          <w:bCs/>
          <w:spacing w:val="2"/>
          <w:sz w:val="20"/>
          <w:lang w:eastAsia="sl-SI"/>
        </w:rPr>
        <w:t xml:space="preserve">Ministrstvo je učinkovito izvedlo postopek javnega naročanja. Ministrstvo je izbralo odprti postopek javnega naročanja in pri odločitvi o vrsti postopka javnega naročila upoštevalo predmet javnega naročila. Odprti postopek namreč omogoča vsem zainteresiranim subjektom, da oddajo svojo ponudbo. </w:t>
      </w:r>
      <w:r w:rsidRPr="0011593F">
        <w:rPr>
          <w:rFonts w:asciiTheme="minorHAnsi" w:hAnsiTheme="minorHAnsi"/>
          <w:bCs/>
          <w:sz w:val="20"/>
          <w:lang w:eastAsia="sl-SI"/>
        </w:rPr>
        <w:t>Pogoji za sodelovanje pri javnem naročilu, ki jih je določilo ministrstvo, so bili jasni in sorazmerni ter smiselno povezani s predmetom javnega naročila</w:t>
      </w:r>
      <w:r>
        <w:rPr>
          <w:rFonts w:asciiTheme="minorHAnsi" w:hAnsiTheme="minorHAnsi"/>
          <w:bCs/>
          <w:sz w:val="20"/>
          <w:lang w:eastAsia="sl-SI"/>
        </w:rPr>
        <w:t>. Izjemo predstavlja določilo v </w:t>
      </w:r>
      <w:r w:rsidRPr="0011593F">
        <w:rPr>
          <w:rFonts w:asciiTheme="minorHAnsi" w:hAnsiTheme="minorHAnsi"/>
          <w:bCs/>
          <w:sz w:val="20"/>
          <w:lang w:eastAsia="sl-SI"/>
        </w:rPr>
        <w:t xml:space="preserve">povabilu k oddaji ponudbe, s katerim je ministrstvo po oceni računskega sodišča neupravičeno omejilo sodelovanje potencialnih ponudnikov na javnem razpisu. Ministrstvo je določilo merila za oddajo javnega naročila, ki so </w:t>
      </w:r>
      <w:proofErr w:type="spellStart"/>
      <w:r w:rsidRPr="0011593F">
        <w:rPr>
          <w:rFonts w:asciiTheme="minorHAnsi" w:hAnsiTheme="minorHAnsi"/>
          <w:bCs/>
          <w:sz w:val="20"/>
          <w:lang w:eastAsia="sl-SI"/>
        </w:rPr>
        <w:t>nediskriminatorna</w:t>
      </w:r>
      <w:proofErr w:type="spellEnd"/>
      <w:r w:rsidRPr="0011593F">
        <w:rPr>
          <w:rFonts w:asciiTheme="minorHAnsi" w:hAnsiTheme="minorHAnsi"/>
          <w:bCs/>
          <w:sz w:val="20"/>
          <w:lang w:eastAsia="sl-SI"/>
        </w:rPr>
        <w:t xml:space="preserve">, sorazmerna in povezana s predmetom javnega naročila ter so omogočala objektivno oceno vlog. Ministrstvo je tudi ocenjevalo in dokumentiralo ocenjevanje v skladu s postavljenimi merili. Ocenjena vrednost javnega naročila je bila utemeljena in določena v skladu s predpisi. Ministrstvo je k pogodbi sklenilo 2 aneksa. Ministrstvo ob sklenitvi </w:t>
      </w:r>
      <w:r w:rsidRPr="0011593F">
        <w:rPr>
          <w:rFonts w:asciiTheme="minorHAnsi" w:hAnsiTheme="minorHAnsi"/>
          <w:bCs/>
          <w:sz w:val="20"/>
          <w:lang w:eastAsia="sl-SI"/>
        </w:rPr>
        <w:lastRenderedPageBreak/>
        <w:t>drugega aneksa ni utemeljilo ekonomskih ali tehničnih razlogov, zaradi katerih zamenjava prvotnega izvajalca ni mogoča, vključno z obsegom nevšečnosti ali podvajanjem stroškov, kar predstavlja odmik od pravil, ki jih določajo predpisi o javnem naročanju.</w:t>
      </w:r>
    </w:p>
    <w:p w14:paraId="62FEB127" w14:textId="77777777" w:rsidR="00816B57" w:rsidRDefault="00816B57" w:rsidP="00816B57">
      <w:pPr>
        <w:pStyle w:val="RStekst"/>
        <w:rPr>
          <w:lang w:eastAsia="sl-SI"/>
        </w:rPr>
      </w:pPr>
      <w:r w:rsidRPr="0011593F">
        <w:rPr>
          <w:lang w:eastAsia="sl-SI"/>
        </w:rPr>
        <w:t xml:space="preserve">Ministrstvo je delno učinkovito </w:t>
      </w:r>
      <w:r w:rsidRPr="0011593F">
        <w:rPr>
          <w:iCs/>
          <w:lang w:eastAsia="sl-SI"/>
        </w:rPr>
        <w:t>upravljalo s pogodbo o</w:t>
      </w:r>
      <w:r w:rsidRPr="0011593F">
        <w:rPr>
          <w:lang w:eastAsia="sl-SI"/>
        </w:rPr>
        <w:t xml:space="preserve"> izvedbi javnega naročila v smislu doseganja ciljev javnega naročila. Ministrstvo je doseganje ciljev javnega naročila spremljalo prek izvajanja aktivnosti izvajalca, ni pa vzpostavilo pogodbenih mehanizmov, s katerimi bi plačilo izvajalcu vezalo tudi na končno oceno doseganja ciljev projekta.</w:t>
      </w:r>
    </w:p>
    <w:p w14:paraId="5424E38D" w14:textId="77777777" w:rsidR="00C572B5" w:rsidRDefault="00C572B5" w:rsidP="003D1FAE">
      <w:pPr>
        <w:pStyle w:val="RStekst"/>
      </w:pPr>
    </w:p>
    <w:p w14:paraId="35897DF7" w14:textId="11662C0E" w:rsidR="008629A2" w:rsidRDefault="008629A2" w:rsidP="008629A2">
      <w:pPr>
        <w:pStyle w:val="RStekst"/>
      </w:pPr>
      <w:r>
        <w:t xml:space="preserve">Ljubljana, </w:t>
      </w:r>
      <w:r w:rsidR="00476C91">
        <w:t>3. decembra 2021</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7F58505C"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45474C">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4FABAD6F"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45474C">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5474C"/>
    <w:rsid w:val="00466210"/>
    <w:rsid w:val="00476C91"/>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16B57"/>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2825</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2021-12-01T14:14:00Z</dcterms:created>
  <dcterms:modified xsi:type="dcterms:W3CDTF">2021-12-01T14:16:00Z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