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BDEE9B5" w:rsidR="008629A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B17F2">
        <w:rPr>
          <w:spacing w:val="-2"/>
        </w:rPr>
        <w:br/>
      </w:r>
      <w:r w:rsidR="00DB17F2" w:rsidRPr="00DB17F2">
        <w:rPr>
          <w:spacing w:val="-2"/>
        </w:rPr>
        <w:t>Prenehanje obstoja DUTB</w:t>
      </w:r>
    </w:p>
    <w:p w14:paraId="7D1E2749" w14:textId="77777777" w:rsidR="00221E21" w:rsidRPr="00A01BCE" w:rsidRDefault="00221E21" w:rsidP="00221E21">
      <w:pPr>
        <w:pStyle w:val="RStekst"/>
      </w:pPr>
      <w:r w:rsidRPr="00A01BCE">
        <w:rPr>
          <w:spacing w:val="-2"/>
        </w:rPr>
        <w:t xml:space="preserve">Računsko sodišče je izvedlo revizijo </w:t>
      </w:r>
      <w:r w:rsidRPr="00A01BCE">
        <w:rPr>
          <w:b/>
          <w:spacing w:val="-2"/>
        </w:rPr>
        <w:t>učinkovitosti ravnanj</w:t>
      </w:r>
      <w:r w:rsidRPr="00A01BCE">
        <w:rPr>
          <w:spacing w:val="-2"/>
        </w:rPr>
        <w:t xml:space="preserve"> </w:t>
      </w:r>
      <w:r w:rsidRPr="00A01BCE">
        <w:rPr>
          <w:b/>
          <w:spacing w:val="-2"/>
        </w:rPr>
        <w:t>Vlade Republike Slovenije</w:t>
      </w:r>
      <w:r>
        <w:rPr>
          <w:spacing w:val="-2"/>
        </w:rPr>
        <w:t xml:space="preserve"> (v </w:t>
      </w:r>
      <w:r w:rsidRPr="00A01BCE">
        <w:rPr>
          <w:spacing w:val="-2"/>
        </w:rPr>
        <w:t xml:space="preserve">nadaljevanju: vlada), </w:t>
      </w:r>
      <w:r w:rsidRPr="00A01BCE">
        <w:rPr>
          <w:b/>
          <w:spacing w:val="-2"/>
        </w:rPr>
        <w:t>Ministrstva za finance</w:t>
      </w:r>
      <w:r w:rsidRPr="00A01BCE">
        <w:rPr>
          <w:spacing w:val="-2"/>
        </w:rPr>
        <w:t xml:space="preserve"> (v nadaljevanju: ministrstvo) in </w:t>
      </w:r>
      <w:r w:rsidRPr="00A01BCE">
        <w:rPr>
          <w:b/>
          <w:spacing w:val="-2"/>
        </w:rPr>
        <w:t>Družbe za upravljanje terjatev bank, d.d</w:t>
      </w:r>
      <w:r w:rsidRPr="00A01BCE">
        <w:rPr>
          <w:spacing w:val="-2"/>
        </w:rPr>
        <w:t xml:space="preserve">. (v nadaljevanju: DUTB) </w:t>
      </w:r>
      <w:r w:rsidRPr="00A01BCE">
        <w:rPr>
          <w:b/>
          <w:spacing w:val="-2"/>
        </w:rPr>
        <w:t>v zvezi s prenehanjem obstoja DUTB</w:t>
      </w:r>
      <w:r>
        <w:t xml:space="preserve"> v </w:t>
      </w:r>
      <w:r w:rsidRPr="00A01BCE">
        <w:t>obdobju od 1. 1. 2016 do 31. 5. 2021.</w:t>
      </w:r>
    </w:p>
    <w:p w14:paraId="08D62551" w14:textId="77777777" w:rsidR="00221E21" w:rsidRPr="00A01BCE" w:rsidRDefault="00221E21" w:rsidP="00221E21">
      <w:pPr>
        <w:pStyle w:val="RStekst"/>
      </w:pPr>
      <w:r w:rsidRPr="00A01BCE">
        <w:t>Eden izmed ciljev Zakona o ukrepih Republike Slovenije za krepitev stabilnosti bank, s katerim je bila ustanovljena DUTB, je povračilo proračunskih sredstev, ki so bila namenjena sanaciji bančnega sistema</w:t>
      </w:r>
      <w:r w:rsidRPr="00A01BCE">
        <w:rPr>
          <w:szCs w:val="22"/>
        </w:rPr>
        <w:t xml:space="preserve"> oziroma krepitvi stabilnosti bank</w:t>
      </w:r>
      <w:r w:rsidRPr="00A01BCE">
        <w:t>. Ta cilj naj bi DUTB dosegla z upravljanjem premoženja, ki ga je prevzela od bank, in sicer najkasneje do 31. 12. 2022, ko je Zakon o ukrepih Republike Slovenije za krepitev stabilnosti bank predvidel njeno prenehanje, z možnostjo, da vlada Državnemu zboru Republike Slovenije predlaga tudi predčasno ukinitev DUTB, če ta proda več kot 75 % prevzetih obveznosti.</w:t>
      </w:r>
    </w:p>
    <w:p w14:paraId="1A624967" w14:textId="77777777" w:rsidR="00221E21" w:rsidRPr="00A01BCE" w:rsidRDefault="00221E21" w:rsidP="00221E21">
      <w:pPr>
        <w:pStyle w:val="RStekst"/>
      </w:pPr>
      <w:r w:rsidRPr="00A01BCE">
        <w:t>DUTB je upravljanje s premoženjem do konca leta 2022 načrtovala v strateških in operativnih dokumentih, pri čemer sta bila deloma v načrtovanje vključena tudi vlada in ministrstvo.</w:t>
      </w:r>
    </w:p>
    <w:p w14:paraId="47A6B801" w14:textId="77777777" w:rsidR="00221E21" w:rsidRPr="00A01BCE" w:rsidRDefault="00221E21" w:rsidP="00221E21">
      <w:pPr>
        <w:pStyle w:val="RStekst"/>
        <w:rPr>
          <w:bCs w:val="0"/>
        </w:rPr>
      </w:pPr>
      <w:r w:rsidRPr="00A01BCE">
        <w:t>Revidiranci so poslovanje DUTB redno spremljali v okviru</w:t>
      </w:r>
      <w:r w:rsidRPr="00A01BCE">
        <w:rPr>
          <w:bCs w:val="0"/>
        </w:rPr>
        <w:t xml:space="preserve"> vzpostavljenega medsebojnega sistema poročanja. Pri tem je računsko sodišče ugotovilo, da je ministrstvo vladi sicer zagotavljalo sprotne in ažurne podatke o upravljanju premoženja DUTB, vendar pa ni preverjalo ustreznosti podatkov, </w:t>
      </w:r>
      <w:r w:rsidRPr="00A01BCE">
        <w:t>ki mu jih je zagotavljala DUTB, in sicer v zvezi z izračunom izpolnjevanja pogoja za njeno morebitno predčasno ukinitev</w:t>
      </w:r>
      <w:r w:rsidRPr="00A01BCE">
        <w:rPr>
          <w:bCs w:val="0"/>
        </w:rPr>
        <w:t xml:space="preserve">. DUTB je izpolnjenost navedenega pogoja presojala po lastni metodologiji, ki jo je zaradi nerazpoložljivosti podatkov, ki jih za izračun predvideva </w:t>
      </w:r>
      <w:r w:rsidRPr="00A01BCE">
        <w:t>Zakon o ukrepih Republike Slovenije za krepitev stabilnosti bank</w:t>
      </w:r>
      <w:r w:rsidRPr="00A01BCE">
        <w:rPr>
          <w:bCs w:val="0"/>
        </w:rPr>
        <w:t>, prevzelo tudi ministrstvo. V skladu z navedeno metodologijo je DUTB pogoj za predčasno ukinitev izpolnila marca 2021.</w:t>
      </w:r>
    </w:p>
    <w:p w14:paraId="61EDD20E" w14:textId="77777777" w:rsidR="00221E21" w:rsidRPr="00A01BCE" w:rsidRDefault="00221E21" w:rsidP="00221E21">
      <w:pPr>
        <w:pStyle w:val="RStekst"/>
      </w:pPr>
      <w:r w:rsidRPr="00A01BCE">
        <w:rPr>
          <w:bCs w:val="0"/>
        </w:rPr>
        <w:t xml:space="preserve">Ne glede na to, da je ob izpolnjenosti zakonskega pogoja odločitev o morebitni predčasni ukinitvi DUTB popolnoma na strani vlade, pa je računsko sodišče ugotovilo, da vlada izpolnitve tega pogoja do zaključka obdobja, na katero se nanaša revizija, ni preverjala niti ni o tem sprejela nobene odločitve. </w:t>
      </w:r>
      <w:r w:rsidRPr="00A01BCE">
        <w:t>Ker vlada ni vnaprej celovito uredila pravnega nasledstva DUTB, tudi ni poskrbela za vzpostavitev pogojev za učinkovito upravljanje preostalega premoženja DUTB.</w:t>
      </w:r>
    </w:p>
    <w:p w14:paraId="7BA05F2A" w14:textId="77777777" w:rsidR="00221E21" w:rsidRPr="00A01BCE" w:rsidRDefault="00221E21" w:rsidP="00221E21">
      <w:pPr>
        <w:pStyle w:val="RStekst"/>
      </w:pPr>
      <w:r w:rsidRPr="00A01BCE">
        <w:t xml:space="preserve">Obseg premoženja in finančne obveznosti DUTB iz izdanih dolžniških vrednostnih papirjev oziroma finančne obveznosti do bank so se z leti zmanjševale, pa vendar počasneje, kot je bilo to predvideno v načrtih DUTB. DUTB je za to, da je v celoti poplačala obveznice, najela nova posojila pri bankah. Pri tem se je dogovorila za znatno nižjo obrestno mero v primerjavi z obrestnimi merami izdanih obveznic, odplačilo pa je, glede na zapadlost posameznih finančnih </w:t>
      </w:r>
      <w:r>
        <w:t>obveznosti, potekalo hitreje od </w:t>
      </w:r>
      <w:r w:rsidRPr="00A01BCE">
        <w:t>dogovorjene pogodbene dinamike med DUTB in bankami.</w:t>
      </w:r>
    </w:p>
    <w:p w14:paraId="526FC6AB" w14:textId="77777777" w:rsidR="00221E21" w:rsidRPr="00A01BCE" w:rsidRDefault="00221E21" w:rsidP="00221E21">
      <w:pPr>
        <w:pStyle w:val="RStekst"/>
      </w:pPr>
      <w:r w:rsidRPr="00A01BCE">
        <w:lastRenderedPageBreak/>
        <w:t xml:space="preserve">Obseg preostalega premoženja DUTB je na dan 31. 12. 2020 znašal 615 milijonov EUR, stanje dolga pa je ob koncu obdobja, na katero se nanaša revizija, znašalo </w:t>
      </w:r>
      <w:r>
        <w:t>369,9 milijona</w:t>
      </w:r>
      <w:r w:rsidRPr="00A01BCE">
        <w:t xml:space="preserve"> EUR. Ob izdaji revizijskega poročila je bil v Državnem zboru Republike Sloveni</w:t>
      </w:r>
      <w:r>
        <w:t>je v obravnavi predlog Zakona o </w:t>
      </w:r>
      <w:r w:rsidRPr="00A01BCE">
        <w:t>nacionalnem demografskem skladu, ki predvideva, da premoženj</w:t>
      </w:r>
      <w:r>
        <w:t>e, pravice in obveznosti DUTB z </w:t>
      </w:r>
      <w:r w:rsidRPr="00A01BCE">
        <w:t>dnem uveljavitve tega zakona preidejo na nacionalni demografski sklad.</w:t>
      </w:r>
    </w:p>
    <w:p w14:paraId="25256411" w14:textId="77777777" w:rsidR="00221E21" w:rsidRPr="00DB17F2" w:rsidRDefault="00221E21" w:rsidP="00221E21">
      <w:pPr>
        <w:pStyle w:val="RStekst"/>
        <w:rPr>
          <w:b/>
          <w:szCs w:val="22"/>
        </w:rPr>
      </w:pPr>
      <w:r w:rsidRPr="00A01BCE">
        <w:t xml:space="preserve">Računsko sodišče je izreklo mnenje, da so bila ravnanja revidirancev v zvezi s prenehanjem obstoja </w:t>
      </w:r>
      <w:r w:rsidRPr="00DB17F2">
        <w:t xml:space="preserve">DUTB v obdobju, na katero se nanaša revizija, </w:t>
      </w:r>
      <w:r w:rsidRPr="00DB17F2">
        <w:rPr>
          <w:b/>
          <w:szCs w:val="22"/>
        </w:rPr>
        <w:t>delno učinkovita.</w:t>
      </w:r>
    </w:p>
    <w:p w14:paraId="267CA0C4" w14:textId="77777777" w:rsidR="00221E21" w:rsidRDefault="00221E21" w:rsidP="00221E21">
      <w:pPr>
        <w:pStyle w:val="RStekst"/>
      </w:pPr>
      <w:r w:rsidRPr="00A01BCE">
        <w:t xml:space="preserve">Računsko sodišče je vladi </w:t>
      </w:r>
      <w:r w:rsidRPr="00CA7C55">
        <w:rPr>
          <w:b/>
          <w:szCs w:val="22"/>
        </w:rPr>
        <w:t xml:space="preserve">priporočilo, </w:t>
      </w:r>
      <w:r w:rsidRPr="00A01BCE">
        <w:t>da vzpostavi ustrezne pog</w:t>
      </w:r>
      <w:r>
        <w:t>oje za učinkovito upravljanje s </w:t>
      </w:r>
      <w:r w:rsidRPr="00A01BCE">
        <w:t>preostalim premoženjem DUTB in da ustrezno poskrbi za vse vidike pravnega nasledstva DUTB.</w:t>
      </w:r>
    </w:p>
    <w:p w14:paraId="5424E38D" w14:textId="77777777" w:rsidR="00C572B5" w:rsidRDefault="00C572B5" w:rsidP="003D1FAE">
      <w:pPr>
        <w:pStyle w:val="RStekst"/>
      </w:pPr>
    </w:p>
    <w:p w14:paraId="35897DF7" w14:textId="53C53495" w:rsidR="008629A2" w:rsidRDefault="008629A2" w:rsidP="008629A2">
      <w:pPr>
        <w:pStyle w:val="RStekst"/>
      </w:pPr>
      <w:r>
        <w:t xml:space="preserve">Ljubljana, </w:t>
      </w:r>
      <w:r w:rsidR="00DB17F2" w:rsidRPr="00DB17F2">
        <w:t>27. januarja 2022</w:t>
      </w: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678E4724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DB17F2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6DD25D28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B17F2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1E21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17F2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E1A6F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2022-01-19T09:07:00Z</dcterms:created>
  <dcterms:modified xsi:type="dcterms:W3CDTF">2022-01-27T07:36:00Z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