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B506" w14:textId="2CE73C72" w:rsidR="00675AC6" w:rsidRPr="00A60568" w:rsidRDefault="00675AC6" w:rsidP="00675AC6">
      <w:pPr>
        <w:pStyle w:val="RStekst"/>
        <w:rPr>
          <w:b/>
          <w:i/>
        </w:rPr>
      </w:pPr>
      <w:r w:rsidRPr="00A60568">
        <w:rPr>
          <w:b/>
        </w:rPr>
        <w:t xml:space="preserve">Povzetek revizijskega poročila </w:t>
      </w:r>
      <w:r w:rsidR="00A60568" w:rsidRPr="00A60568">
        <w:rPr>
          <w:b/>
          <w:i/>
        </w:rPr>
        <w:t xml:space="preserve">Uspešnost izvedbe popravljalnih ukrepov za ureditev izvajanja gospodarske javne službe dejavnost distribucijskega operaterja v obdobju od 25. 11. 2014 </w:t>
      </w:r>
      <w:r w:rsidR="00A60568">
        <w:rPr>
          <w:b/>
          <w:i/>
        </w:rPr>
        <w:br/>
      </w:r>
      <w:r w:rsidR="00A60568" w:rsidRPr="00A60568">
        <w:rPr>
          <w:b/>
          <w:i/>
        </w:rPr>
        <w:t>do 30. 6. 2019</w:t>
      </w:r>
    </w:p>
    <w:p w14:paraId="121E5960" w14:textId="77777777" w:rsidR="00A60568" w:rsidRDefault="00A60568" w:rsidP="001469F5">
      <w:pPr>
        <w:pStyle w:val="RStekst"/>
      </w:pPr>
    </w:p>
    <w:p w14:paraId="7F8FBDE4" w14:textId="77777777" w:rsidR="00A60568" w:rsidRPr="00A60568" w:rsidRDefault="00A60568" w:rsidP="00A60568">
      <w:pPr>
        <w:pStyle w:val="RStekst"/>
      </w:pPr>
      <w:r w:rsidRPr="00A60568">
        <w:t xml:space="preserve">Računsko sodišče je revidiralo uspešnost </w:t>
      </w:r>
      <w:r w:rsidRPr="00A60568">
        <w:rPr>
          <w:i/>
        </w:rPr>
        <w:t>Vlade Republike Slovenije</w:t>
      </w:r>
      <w:r w:rsidRPr="00A60568">
        <w:t xml:space="preserve"> (v nadaljevanju: vlada), </w:t>
      </w:r>
      <w:r w:rsidRPr="00A60568">
        <w:rPr>
          <w:i/>
        </w:rPr>
        <w:t>Ministrstva za infrastrukturo</w:t>
      </w:r>
      <w:r w:rsidRPr="00A60568">
        <w:t xml:space="preserve"> (v nadaljevanju: ministrstvo), </w:t>
      </w:r>
      <w:r w:rsidRPr="00A60568">
        <w:rPr>
          <w:i/>
        </w:rPr>
        <w:t>Slovenskega državnega holdinga, d.d.</w:t>
      </w:r>
      <w:r w:rsidRPr="00A60568">
        <w:t xml:space="preserve"> (v nadaljevanju: SDH) in </w:t>
      </w:r>
      <w:r w:rsidRPr="00A60568">
        <w:rPr>
          <w:i/>
        </w:rPr>
        <w:t>SODO sistemskega operaterja distribucijskega omrežja z električno energijo, d.o.o.</w:t>
      </w:r>
      <w:r w:rsidRPr="00A60568">
        <w:t xml:space="preserve"> (v nadaljevanju: družba SODO) pri izvedbi popravljalnih in drugih ukrepov za ureditev izvajanja gospodarske javne službe dejavnost distribucijskega operaterja (v nadaljevanju: GJS DDO) v obdobju od 25. 11. 2014 do 30. 6. 2019. </w:t>
      </w:r>
    </w:p>
    <w:p w14:paraId="4874C1D3" w14:textId="77777777" w:rsidR="00A60568" w:rsidRPr="00A60568" w:rsidRDefault="00A60568" w:rsidP="00A60568">
      <w:pPr>
        <w:pStyle w:val="RStekst"/>
      </w:pPr>
    </w:p>
    <w:p w14:paraId="423C8801" w14:textId="77777777" w:rsidR="00A60568" w:rsidRPr="00A60568" w:rsidRDefault="00A60568" w:rsidP="00A60568">
      <w:pPr>
        <w:pStyle w:val="RStekst"/>
        <w:rPr>
          <w:i/>
        </w:rPr>
      </w:pPr>
      <w:r w:rsidRPr="00A60568">
        <w:rPr>
          <w:i/>
        </w:rPr>
        <w:t>Vlada in ministrstvo pri izvedbi popravljalnih ukrepov za ureditev izvajanja GJS DDO nista bila uspešna.</w:t>
      </w:r>
    </w:p>
    <w:p w14:paraId="273A6BBA" w14:textId="77777777" w:rsidR="00A60568" w:rsidRPr="00A60568" w:rsidRDefault="00A60568" w:rsidP="00A60568">
      <w:pPr>
        <w:pStyle w:val="RStekst"/>
        <w:rPr>
          <w:i/>
        </w:rPr>
      </w:pPr>
    </w:p>
    <w:p w14:paraId="07437E7D" w14:textId="77777777" w:rsidR="00A60568" w:rsidRPr="00A60568" w:rsidRDefault="00A60568" w:rsidP="00A60568">
      <w:pPr>
        <w:pStyle w:val="RStekst"/>
      </w:pPr>
      <w:r w:rsidRPr="00A60568">
        <w:t xml:space="preserve">Vlada je šele 1. 3. 2018 določila besedilo predloga Resolucije o energetskem konceptu Slovenije in ga posredovala v sprejem Državnemu zboru Republike Slovenije (v nadaljevanju: državni zbor). To je več kot 2 leti po roku, ki ga je določila v odzivnem poročilu. Vlada ni usmerjala in nadzirala ministrstva ter sodelovala pri pripravi vsebine predloga Resolucije o energetskem konceptu Slovenije ter v skladu s svojimi pooblastili ni vplivala na čimprejšnji sprejem Energetskega koncepta Slovenije oziroma drugega strateškega dokumenta, iz katerega bi bile jasno razvidne usmeritve, cilji in ukrepi za dosego ciljev na področju ureditve in načina izvajanja GJS DDO ob upoštevanju Energetskega zakona. Maja 2015 je vlada določila besedilo Predloga Odloka o strategiji upravljanja kapitalskih naložb države, v katerem je določila, da so elektrodistribucijske družbe strateška naložba države, v katerih mora Republika Slovenija povečevati svoj lastniški delež do pridobitve celotnega lastništva elektroenergetske infrastrukture. Vendar v Strategiji upravljanja kapitalskih naložb države ni določila rokov za izvedbo aktivnosti in dosego zastavljenih ciljev. </w:t>
      </w:r>
    </w:p>
    <w:p w14:paraId="43583290" w14:textId="77777777" w:rsidR="00A60568" w:rsidRPr="00A60568" w:rsidRDefault="00A60568" w:rsidP="00A60568">
      <w:pPr>
        <w:pStyle w:val="RStekst"/>
      </w:pPr>
    </w:p>
    <w:p w14:paraId="29989E26" w14:textId="77777777" w:rsidR="00A60568" w:rsidRPr="00A60568" w:rsidRDefault="00A60568" w:rsidP="00A60568">
      <w:pPr>
        <w:pStyle w:val="RStekst"/>
      </w:pPr>
      <w:r w:rsidRPr="00A60568">
        <w:t>Ministrstvo je šele decembra 2017 objavilo končni predlog Energetskega koncepta Slovenije za javno obravnavo in medresorsko usklajevanje. Končno besedilo predloga Resolucije o energetskem konceptu Slovenije je bilo po sprejemu na vladi v marcu 2018 posredovano v sprejem državnemu zboru, vendar je bil postopek s prenehanjem mandatne dobe državnega zbora junija 2018 ustavljen. Ministrstvo je v avgustu in nato še v septembru 2018 v ponovni postopek javne obravnave posredovalo enak predlog Resolucije o energetskem konceptu Slovenije, po tem pa ni izvajalo nadaljnjih aktivnosti za sprejem Energetskega koncepta Slovenije kot strateškega dokumenta s področja energetike. Predlog Resolucije o energetskem konceptu Slovenije ni izdelan v skladu z Energetskim zakonom, saj niso določeni cilji zanesljive, trajnostne in konkurenčne oskrbe z energijo za obdobje prihodnjih 20 let in okvirno za 40 let ter ukrepi za doseganje teh ciljev ter kazalniki po pripadajočih ciljih energetske politike. Namesto tega je navedeno, da bodo cilji in ukrepi natančno določeni v Celovitem nacionalnem energetskem in podnebnem načrtu. Vendar tudi prvi osnutek Celovitega nacionalnega energetskega in podnebnega načrta z decembra 2018 vsebuje le splošne usmeritve za področje distribucije električne energije, ki se ne nanašajo na problematiko ureditve GJS DDO. Ministrstvo s tem ni sledilo zavezam iz odzivnega poročila, da bo v predlogu Energetskega koncepta Slovenije in takrat predvidenem Državnem razvojnem energetskem načrtu upoštevalo sprejete rešitve v zvezi z ureditvijo in načinom izvajanja GJS DDO.</w:t>
      </w:r>
    </w:p>
    <w:p w14:paraId="5EF7D77E" w14:textId="77777777" w:rsidR="00A60568" w:rsidRPr="00A60568" w:rsidRDefault="00A60568" w:rsidP="00A60568">
      <w:pPr>
        <w:pStyle w:val="RStekst"/>
      </w:pPr>
    </w:p>
    <w:p w14:paraId="6512E5BF" w14:textId="77777777" w:rsidR="00A60568" w:rsidRPr="00A60568" w:rsidRDefault="00A60568" w:rsidP="00A60568">
      <w:pPr>
        <w:pStyle w:val="RStekst"/>
      </w:pPr>
      <w:r w:rsidRPr="00A60568">
        <w:t>Vlada in ministrstvo sta v Energetskem zakonu vzpostavila ustrezno pravno podlago za zagotovitev delovanja upravljavca distribucijskega omrežja neodvisno od drugih dejavnosti, ki niso povezane z distribucijo.</w:t>
      </w:r>
      <w:r w:rsidRPr="00A60568">
        <w:rPr>
          <w:i/>
        </w:rPr>
        <w:t xml:space="preserve"> </w:t>
      </w:r>
      <w:r w:rsidRPr="00A60568">
        <w:t>Vendar</w:t>
      </w:r>
      <w:r w:rsidRPr="00A60568">
        <w:rPr>
          <w:i/>
        </w:rPr>
        <w:t xml:space="preserve"> </w:t>
      </w:r>
      <w:r w:rsidRPr="00A60568">
        <w:t xml:space="preserve">z izčlenitvijo tržnih družb iz elektrodistribucijskih družb ni bil izveden korak v smeri dejanske ločitve dejavnosti, ki so povezane z izvajanjem GJS DDO, od tržnih dejavnosti proizvodnje in dobave električne energije. Večino dejavnosti GJS DDO izvajajo elektrodistribucijske družbe kot storitve </w:t>
      </w:r>
      <w:r w:rsidRPr="00A60568">
        <w:lastRenderedPageBreak/>
        <w:t xml:space="preserve">za družbo SODO. Tako tudi po do sedaj izvedeni reorganizaciji ureditve izvajanja GJS DDO niso zagotovljeni pogoji, da bi družba SODO opravljala GJS DDO neodvisno od elektrodistribucijskih družb, ki so vertikalno povezane s proizvajalci in dobavitelji električne energije. Zato obstaja tveganje, da niso izpolnjene zahteve iz Energetskega zakona in Direktive 2009/72/ES Evropskega parlamenta in Sveta z dne 13. julija 2009 o skupnih pravilih notranjega trga z električno energijo in o razveljavitvi Direktive 2003/54/ES glede zagotovitve neodvisnosti upravljavca distribucijskega omrežja od interesov v zvezi s proizvodnjo in dobavo električne energije. </w:t>
      </w:r>
    </w:p>
    <w:p w14:paraId="2104BC96" w14:textId="77777777" w:rsidR="00A60568" w:rsidRPr="00A60568" w:rsidRDefault="00A60568" w:rsidP="00A60568">
      <w:pPr>
        <w:pStyle w:val="RStekst"/>
      </w:pPr>
    </w:p>
    <w:p w14:paraId="4DC3850F" w14:textId="77777777" w:rsidR="00A60568" w:rsidRPr="00A60568" w:rsidRDefault="00A60568" w:rsidP="00A60568">
      <w:pPr>
        <w:pStyle w:val="RStekst"/>
      </w:pPr>
      <w:r w:rsidRPr="00A60568">
        <w:t>Vlada in ministrstvo nista spremljala in usmerjala SDH na način, da bi bila oddelitev ali prodaja</w:t>
      </w:r>
      <w:r w:rsidRPr="00A60568" w:rsidDel="00D6620E">
        <w:t xml:space="preserve"> </w:t>
      </w:r>
      <w:r w:rsidRPr="00A60568">
        <w:t xml:space="preserve">tržnih družb, ki so v lasti elektrodistribucijskih družb, izvedena pravočasno. Posledično tudi nista mogla izvesti nadaljnjih ukrepov za ureditev organiziranosti GJS DDO. Prav tako vlada in ministrstvo nista spremljala in usmerjala SDH na način, da bi bile izvedene potrebne aktivnosti za pridobitev 100-odstotnega lastništva države v elektrodistribucijskih družbah. </w:t>
      </w:r>
    </w:p>
    <w:p w14:paraId="60D45DA0" w14:textId="77777777" w:rsidR="00A60568" w:rsidRPr="00A60568" w:rsidRDefault="00A60568" w:rsidP="00A60568">
      <w:pPr>
        <w:pStyle w:val="RStekst"/>
      </w:pPr>
    </w:p>
    <w:p w14:paraId="4E18A069" w14:textId="77777777" w:rsidR="00A60568" w:rsidRPr="00A60568" w:rsidRDefault="00A60568" w:rsidP="00A60568">
      <w:pPr>
        <w:pStyle w:val="RStekst"/>
      </w:pPr>
      <w:r w:rsidRPr="00A60568">
        <w:t xml:space="preserve">Vlada in ministrstvo sta z zadnjo spremembo Energetskega zakona določila, da se služnost v javno korist na nepremičninah, ki so v lasti države ali lokalnih skupnosti, sklepa brezplačno v korist investitorja ali lastnika elektroenergetske infrastrukture in ne več v korist distribucijskega operaterja. To ni v skladu s sistemsko ureditvijo tega področja v Zakonu o stvarnem premoženju države in samoupravnih lokalnih skupnosti. </w:t>
      </w:r>
    </w:p>
    <w:p w14:paraId="21CEBB75" w14:textId="77777777" w:rsidR="00A60568" w:rsidRPr="00A60568" w:rsidRDefault="00A60568" w:rsidP="00A60568">
      <w:pPr>
        <w:pStyle w:val="RStekst"/>
      </w:pPr>
    </w:p>
    <w:p w14:paraId="12FA2CC8" w14:textId="77777777" w:rsidR="00A60568" w:rsidRPr="00A60568" w:rsidRDefault="00A60568" w:rsidP="00A60568">
      <w:pPr>
        <w:pStyle w:val="RStekst"/>
        <w:rPr>
          <w:i/>
        </w:rPr>
      </w:pPr>
      <w:r w:rsidRPr="00A60568">
        <w:rPr>
          <w:i/>
        </w:rPr>
        <w:t>SDH pri izvedbi ukrepov za ureditev izvajanja GJS DDO ni bil uspešen.</w:t>
      </w:r>
    </w:p>
    <w:p w14:paraId="2294ADC1" w14:textId="77777777" w:rsidR="00A60568" w:rsidRPr="00A60568" w:rsidRDefault="00A60568" w:rsidP="00A60568">
      <w:pPr>
        <w:pStyle w:val="RStekst"/>
      </w:pPr>
    </w:p>
    <w:p w14:paraId="3CDA8853" w14:textId="77777777" w:rsidR="00A60568" w:rsidRPr="00A60568" w:rsidRDefault="00A60568" w:rsidP="00A60568">
      <w:pPr>
        <w:pStyle w:val="RStekst"/>
      </w:pPr>
      <w:r w:rsidRPr="00A60568">
        <w:t xml:space="preserve">SDH ni izvedel vseh potrebnih aktivnosti, da bi bila izvedena oddelitev tržnih družb. SDH je sicer v letu 2016 izvedel upravljavske aktivnosti, katerih rezultat je bila prodaja 100-odstotnega poslovnega deleža ene od 5 elektrodistribucijskih družb v njeni hčerinski družbi za dobavo električne energije, medtem ko oddelitev ali prodaja tržnih družb, ki so v lasti ostalih 4 elektrodistribucijskih družb, še ni bila izvedena. SDH bi že pred izvedbo postopka na Javni agenciji Republike Slovenije za varstvo konkurence lahko izvedel aktivnosti glede oddelitve tržnih družb, saj ta ni odvisna od uspešnosti izvedbe načrtovanega postopka vertikalne povezave tržnih družb s HSE d.o.o. Tako bi SDH lahko nadaljeval z izvedbo nadaljnjih aktivnosti za dokončno ureditev delovanja GJS DDO na način, da bi se prenesli lastniški deleži Republike Slovenije v elektrodistribucijskih družbah na družbo SODO, kar je kot ena izmed možnosti predvideno v Strategiji upravljanja kapitalskih naložb države, odzivnem poročilu ministrstva in tudi Poročilu o delu Delovne skupine za izpolnitev zavez iz odzivnega poročila na poročilo Računskega sodišča Republike Slovenije v zvezi z revizijo izvedbe popravljalnih ukrepov za ureditev izvajanja gospodarske javne službe sistemskega operaterja distribucijskega omrežja. </w:t>
      </w:r>
    </w:p>
    <w:p w14:paraId="26ACAF5F" w14:textId="77777777" w:rsidR="00A60568" w:rsidRPr="00A60568" w:rsidRDefault="00A60568" w:rsidP="00A60568">
      <w:pPr>
        <w:pStyle w:val="RStekst"/>
      </w:pPr>
    </w:p>
    <w:p w14:paraId="49D09379" w14:textId="77777777" w:rsidR="00A60568" w:rsidRPr="00A60568" w:rsidRDefault="00A60568" w:rsidP="00A60568">
      <w:pPr>
        <w:pStyle w:val="RStekst"/>
      </w:pPr>
      <w:r w:rsidRPr="00A60568">
        <w:t xml:space="preserve">SDH ni izvedel vseh potrebnih aktivnosti za pridobitev 100-odstotnega lastniškega deleža države v elektrodistribucijskih družbah. Na podlagi skupščinskih sklepov so elektrodistribucijske družbe izvedle odkupe lastnih delnic v obsegu, s katerim se je zgolj minimalno povečal lastniški delež države v teh družbah. Zato obstaja tveganje, da pridobitev 100-odstotnega lastniškega deleža v elektrodistribucijskih družbah ne bo izvedena do leta 2020, kar je kot realno možen rok izvedbe navedeno v odzivnem poročilu ministrstva in tudi v Poročilu o delu Delovne skupine za izpolnitev zavez iz odzivnega poročila na poročilo Računskega sodišča Republike Slovenije v zvezi z revizijo izvedbe popravljalnih ukrepov za ureditev izvajanja gospodarske javne službe sistemskega operaterja distribucijskega omrežja. </w:t>
      </w:r>
    </w:p>
    <w:p w14:paraId="61B65921" w14:textId="77777777" w:rsidR="00A60568" w:rsidRPr="00A60568" w:rsidRDefault="00A60568" w:rsidP="00A60568">
      <w:pPr>
        <w:pStyle w:val="RStekst"/>
      </w:pPr>
    </w:p>
    <w:p w14:paraId="2B862E77" w14:textId="77777777" w:rsidR="00A60568" w:rsidRPr="00A60568" w:rsidRDefault="00A60568" w:rsidP="00A60568">
      <w:pPr>
        <w:pStyle w:val="RStekst"/>
      </w:pPr>
      <w:r w:rsidRPr="00A60568">
        <w:t xml:space="preserve">SDH ni izdelal študije stroškov in koristi združitve 5 elektrodistribucijskih družb z družbo SODO. Če bi se s študijo potrdila smotrnost združitve elektrodistribucijskih družb in družbe SODO, bi se lahko že po </w:t>
      </w:r>
      <w:r w:rsidRPr="00A60568">
        <w:lastRenderedPageBreak/>
        <w:t xml:space="preserve">oddelitvi tržnih družb od elektrodistribucijskih družb izvedla dokapitalizacija družbe SODO z lastniškim deležem Republike Slovenije v elektrodistribucijskih družbah. Iz predloga povabila k oddaji ponudbe za pripravo podrobne pravne študije analize možnih variant reorganizacije GJS DDO, ki ga je pripravil SDH, pa izhaja, da je načrtoval izdelavo pravne študije z vprašanji, ki so že bila obravnavana v prejšnjih študijah in o katerih so že bile oblikovane primerne rešitve. </w:t>
      </w:r>
    </w:p>
    <w:p w14:paraId="55B15F26" w14:textId="77777777" w:rsidR="00A60568" w:rsidRPr="00A60568" w:rsidRDefault="00A60568" w:rsidP="00A60568">
      <w:pPr>
        <w:pStyle w:val="RStekst"/>
        <w:spacing w:before="100" w:beforeAutospacing="1" w:after="0" w:line="240" w:lineRule="auto"/>
      </w:pPr>
    </w:p>
    <w:p w14:paraId="109C1F6E" w14:textId="77777777" w:rsidR="00A60568" w:rsidRPr="00A60568" w:rsidRDefault="00A60568" w:rsidP="00A60568">
      <w:pPr>
        <w:pStyle w:val="RStekst"/>
        <w:rPr>
          <w:i/>
        </w:rPr>
      </w:pPr>
      <w:r w:rsidRPr="00A60568">
        <w:rPr>
          <w:i/>
        </w:rPr>
        <w:t>Družba SODO je bila pri izvedbi popravljalnih ukrepov za ureditev izvajanja GJS DDO uspešna.</w:t>
      </w:r>
    </w:p>
    <w:p w14:paraId="506E84A5" w14:textId="77777777" w:rsidR="00A60568" w:rsidRPr="00A60568" w:rsidRDefault="00A60568" w:rsidP="00A60568">
      <w:pPr>
        <w:pStyle w:val="RStekst"/>
        <w:spacing w:before="100" w:beforeAutospacing="1" w:after="0" w:line="240" w:lineRule="auto"/>
      </w:pPr>
    </w:p>
    <w:p w14:paraId="3AE384EF" w14:textId="77777777" w:rsidR="00A60568" w:rsidRPr="00A60568" w:rsidRDefault="00A60568" w:rsidP="00A60568">
      <w:pPr>
        <w:pStyle w:val="RStekst"/>
      </w:pPr>
      <w:r w:rsidRPr="00A60568">
        <w:t xml:space="preserve">Družba SODO je posodobila popis storitev, ki jih elektrodistribucijske družbe izvajajo za družbo SODO v okviru GJS DDO, določila obveznost poročanja o realizaciji storitev ter pričela z izvajanjem nadzora nad opravljenimi storitvami. V oktobru 2017 je pripravila osnutek dokumenta Normativi storitev gospodarske javne službe distribucijskega operaterja, ki jih izvajajo distribucijska podjetja po pogodbi z družbo SODO. S 1. 1. 2018 je vzpostavila informacijsko podporo, ki vsebuje aplikacijo za avtomatsko izmenjavo podatkov o opravljenih storitvah ter enoten portal za poročanje o opravljenih storitvah GJS DDO. S tem je zagotovila centralno spremljanje, odlaganje dokumentov, poročil, povezavo med poročevalci iz elektrodistribucijskih družb in skrbniki področij na družbi SODO. </w:t>
      </w:r>
    </w:p>
    <w:p w14:paraId="456F9A3E" w14:textId="77777777" w:rsidR="00A60568" w:rsidRPr="00A60568" w:rsidRDefault="00A60568" w:rsidP="00A60568">
      <w:pPr>
        <w:pStyle w:val="RStekst"/>
        <w:spacing w:before="100" w:beforeAutospacing="1" w:after="0" w:line="240" w:lineRule="auto"/>
      </w:pPr>
    </w:p>
    <w:p w14:paraId="657D190F" w14:textId="77777777" w:rsidR="00A60568" w:rsidRPr="00A60568" w:rsidRDefault="00A60568" w:rsidP="00A60568">
      <w:pPr>
        <w:pStyle w:val="RStekst"/>
      </w:pPr>
      <w:r w:rsidRPr="00A60568">
        <w:t xml:space="preserve">V letu 2018 je sprejela nova navodila za poročanje o evidenci elektrodistribucijske infrastrukture, ki jo ima družba SODO v najemu ali jo je predala v upravljanje posamezni elektrodistribucijski družbi. Zagotovila je informacijsko podporo v okviru informacijskega sistema družbe SODO in izvedla ukrepe za vzpostavitev evidence elektroenergetske infrastrukture, ki bo po terminskih načrtih dokončno urejena najkasneje do konca leta 2020. </w:t>
      </w:r>
    </w:p>
    <w:p w14:paraId="0B373ACE" w14:textId="77777777" w:rsidR="00A60568" w:rsidRPr="00A60568" w:rsidRDefault="00A60568" w:rsidP="00A60568">
      <w:pPr>
        <w:pStyle w:val="RStekst"/>
        <w:spacing w:before="100" w:beforeAutospacing="1" w:after="0" w:line="240" w:lineRule="auto"/>
      </w:pPr>
    </w:p>
    <w:p w14:paraId="60D7A8F5" w14:textId="77777777" w:rsidR="00A60568" w:rsidRPr="00A60568" w:rsidRDefault="00A60568" w:rsidP="00A60568">
      <w:pPr>
        <w:pStyle w:val="RStekst"/>
      </w:pPr>
      <w:r w:rsidRPr="00A60568">
        <w:t xml:space="preserve">Družba SODO je zagotovila neposreden dostop do podatkov prevzemno-predajnih mest, ki se uporabljajo za mesečne obračune, ki jih končnim odjemalcem izstavljajo dobavitelji električne energije. Zagotovila je tudi dnevni prenos podatkov o spremembah v registru merilnih mest elektrodistribucijskih družb v evidence družbe SODO ter mesečni prevzem vseh podatkov o posameznih obračunih električne energije za vsa merilna mesta v Republiki Sloveniji. </w:t>
      </w:r>
    </w:p>
    <w:p w14:paraId="4C799AB7" w14:textId="77777777" w:rsidR="00A60568" w:rsidRPr="00A60568" w:rsidRDefault="00A60568" w:rsidP="00A60568">
      <w:pPr>
        <w:pStyle w:val="RStekst"/>
        <w:spacing w:before="100" w:beforeAutospacing="1" w:after="0" w:line="240" w:lineRule="auto"/>
      </w:pPr>
    </w:p>
    <w:p w14:paraId="703144E8" w14:textId="77777777" w:rsidR="00A60568" w:rsidRPr="00A60568" w:rsidRDefault="00A60568" w:rsidP="00A60568">
      <w:pPr>
        <w:pStyle w:val="RStekst"/>
      </w:pPr>
      <w:r w:rsidRPr="00A60568">
        <w:t xml:space="preserve">Družba SODO je zagotovila izvajanje javnih pooblastil v skladu z veljavno zakonodajo. Izdala je prenovljena pravila ter poenotila postopke in dokumente na področju priključevanja uporabnikov in prostorskega načrtovanja ne glede na kraj izdaje soglasja. Za ureditev področja javnih pooblastil je zagotovila tudi informacijsko podporo v okviru informacijskega sistema družbe SODO. </w:t>
      </w:r>
    </w:p>
    <w:p w14:paraId="2D2D5DBC" w14:textId="77777777" w:rsidR="00A60568" w:rsidRPr="00A60568" w:rsidRDefault="00A60568" w:rsidP="00A60568">
      <w:pPr>
        <w:pStyle w:val="RStekst"/>
        <w:spacing w:before="100" w:beforeAutospacing="1" w:after="0" w:line="240" w:lineRule="auto"/>
      </w:pPr>
    </w:p>
    <w:p w14:paraId="4071CD0A" w14:textId="77777777" w:rsidR="00A60568" w:rsidRPr="00A60568" w:rsidRDefault="00A60568" w:rsidP="00A60568">
      <w:pPr>
        <w:pStyle w:val="RStekst"/>
      </w:pPr>
      <w:r w:rsidRPr="00A60568">
        <w:t xml:space="preserve">Družba SODO je začela z uvajanjem tipizacije distribucijskega omrežja in s poenotenjem kriterijev za določanje prioritet investicijskih vlaganj v elektroenergetsko infrastrukturo ter uvedla kazalnike učinkovitosti načrtovanja razvoja in investiranja v elektroenergetsko infrastrukturo. Vzpostavila je informacijsko podporo, ki omogoča učinkovitejšo načrtovanje, spremljanje in usmerjanje razvoja elektroenergetske infrastrukture. Družba SODO je izdala tudi navodila, ki opredeljujejo vsebino in način izdelave razvojnih načrtov, s čimer aktivno vpliva na vsebino razvojnega načrta posamezne elektrodistribucijske družbe na njenem distribucijskem območju. Prav tako je vzpostavila podlage za nadzor nad elektrodistribucijskimi družbami pri izvedbi investicij v elektroenergetsko infrastrukturo. </w:t>
      </w:r>
    </w:p>
    <w:p w14:paraId="68D3C701" w14:textId="77777777" w:rsidR="00A60568" w:rsidRPr="00A60568" w:rsidRDefault="00A60568" w:rsidP="00A60568">
      <w:pPr>
        <w:pStyle w:val="RStekst"/>
        <w:spacing w:before="100" w:beforeAutospacing="1" w:after="0" w:line="240" w:lineRule="auto"/>
      </w:pPr>
    </w:p>
    <w:p w14:paraId="5D8FD7FC" w14:textId="1F86716B" w:rsidR="00A60568" w:rsidRDefault="00A60568" w:rsidP="00A60568">
      <w:pPr>
        <w:pStyle w:val="RStekst"/>
      </w:pPr>
      <w:r w:rsidRPr="00A60568">
        <w:t xml:space="preserve">Računsko sodišče je za odpravo ugotovljenih nesmotrnosti od </w:t>
      </w:r>
      <w:r w:rsidRPr="00A60568">
        <w:rPr>
          <w:i/>
        </w:rPr>
        <w:t>vlade, ministrstva in SDH</w:t>
      </w:r>
      <w:r w:rsidRPr="00A60568">
        <w:t xml:space="preserve"> zahtevalo </w:t>
      </w:r>
      <w:r w:rsidRPr="00A60568">
        <w:rPr>
          <w:i/>
        </w:rPr>
        <w:t>izvedbo popravljalnih ukrepov</w:t>
      </w:r>
      <w:r w:rsidRPr="00A60568">
        <w:t xml:space="preserve"> in </w:t>
      </w:r>
      <w:r w:rsidRPr="00A60568">
        <w:rPr>
          <w:i/>
        </w:rPr>
        <w:t>predložitev odzivnega poročila</w:t>
      </w:r>
      <w:r w:rsidRPr="00A60568">
        <w:t xml:space="preserve">. </w:t>
      </w:r>
      <w:r w:rsidRPr="00A60568">
        <w:rPr>
          <w:i/>
        </w:rPr>
        <w:t>Vladi in ministrstvu</w:t>
      </w:r>
      <w:r w:rsidRPr="00A60568">
        <w:t xml:space="preserve"> je podalo tudi </w:t>
      </w:r>
      <w:r w:rsidRPr="00A60568">
        <w:rPr>
          <w:i/>
        </w:rPr>
        <w:t>priporočilo</w:t>
      </w:r>
      <w:r w:rsidRPr="00A60568">
        <w:t xml:space="preserve"> za izboljšanje poslovanja.</w:t>
      </w:r>
    </w:p>
    <w:p w14:paraId="23889802" w14:textId="77777777" w:rsidR="00A60568" w:rsidRDefault="00A60568" w:rsidP="00D2498A">
      <w:pPr>
        <w:pStyle w:val="RStekst"/>
      </w:pPr>
    </w:p>
    <w:p w14:paraId="319B30D2" w14:textId="3FA48E1E" w:rsidR="00E00CC1" w:rsidRDefault="00675AC6" w:rsidP="00D2498A">
      <w:pPr>
        <w:pStyle w:val="RStekst"/>
      </w:pPr>
      <w:r>
        <w:t xml:space="preserve">Ljubljana, </w:t>
      </w:r>
      <w:r w:rsidR="007D49CC">
        <w:t>3.</w:t>
      </w:r>
      <w:bookmarkStart w:id="0" w:name="_GoBack"/>
      <w:bookmarkEnd w:id="0"/>
      <w:r>
        <w:t xml:space="preserve"> </w:t>
      </w:r>
      <w:r w:rsidR="00A60568">
        <w:t>novembra</w:t>
      </w:r>
      <w:r>
        <w:t xml:space="preserve"> 2020</w:t>
      </w:r>
    </w:p>
    <w:sectPr w:rsidR="00E00CC1">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D8A4C" w14:textId="77777777" w:rsidR="002F4DF1" w:rsidRDefault="002F4DF1">
      <w:r>
        <w:separator/>
      </w:r>
    </w:p>
  </w:endnote>
  <w:endnote w:type="continuationSeparator" w:id="0">
    <w:p w14:paraId="267A4902" w14:textId="77777777" w:rsidR="002F4DF1" w:rsidRDefault="002F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A49B3" w14:textId="7A0055BD" w:rsidR="002C5DCD" w:rsidRDefault="002C5DCD">
    <w:pPr>
      <w:jc w:val="center"/>
    </w:pPr>
    <w:r>
      <w:fldChar w:fldCharType="begin"/>
    </w:r>
    <w:r>
      <w:instrText xml:space="preserve"> PAGE </w:instrText>
    </w:r>
    <w:r>
      <w:fldChar w:fldCharType="separate"/>
    </w:r>
    <w:r w:rsidR="007D49C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6F1E5" w14:textId="77777777" w:rsidR="002C5DCD" w:rsidRDefault="008965C3">
    <w:r>
      <w:rPr>
        <w:noProof/>
        <w:lang w:eastAsia="sl-SI"/>
      </w:rPr>
      <w:drawing>
        <wp:anchor distT="0" distB="0" distL="114300" distR="114300" simplePos="0" relativeHeight="251663360" behindDoc="0" locked="1" layoutInCell="1" allowOverlap="1" wp14:anchorId="70F3FA13" wp14:editId="5ACD8E71">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2FDFC" w14:textId="77777777" w:rsidR="002F4DF1" w:rsidRDefault="002F4DF1">
      <w:r>
        <w:separator/>
      </w:r>
    </w:p>
  </w:footnote>
  <w:footnote w:type="continuationSeparator" w:id="0">
    <w:p w14:paraId="14F98881" w14:textId="77777777" w:rsidR="002F4DF1" w:rsidRDefault="002F4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CC543" w14:textId="77777777" w:rsidR="002C5DCD" w:rsidRDefault="00742630">
    <w:r>
      <w:rPr>
        <w:noProof/>
        <w:lang w:eastAsia="sl-SI"/>
      </w:rPr>
      <w:drawing>
        <wp:anchor distT="0" distB="0" distL="114300" distR="114300" simplePos="0" relativeHeight="251661312" behindDoc="0" locked="1" layoutInCell="1" allowOverlap="1" wp14:anchorId="01A5049D" wp14:editId="32AEA4C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AC6"/>
    <w:rsid w:val="00012248"/>
    <w:rsid w:val="000F6907"/>
    <w:rsid w:val="001469F5"/>
    <w:rsid w:val="001E3435"/>
    <w:rsid w:val="001E7547"/>
    <w:rsid w:val="002B0FB3"/>
    <w:rsid w:val="002C5DCD"/>
    <w:rsid w:val="002D37F3"/>
    <w:rsid w:val="002F2498"/>
    <w:rsid w:val="002F4DF1"/>
    <w:rsid w:val="003535E4"/>
    <w:rsid w:val="003A634D"/>
    <w:rsid w:val="00590644"/>
    <w:rsid w:val="005C34F4"/>
    <w:rsid w:val="005F6ED6"/>
    <w:rsid w:val="00647D7F"/>
    <w:rsid w:val="00675AC6"/>
    <w:rsid w:val="006A2AFA"/>
    <w:rsid w:val="007067B4"/>
    <w:rsid w:val="00734179"/>
    <w:rsid w:val="00742630"/>
    <w:rsid w:val="007D49CC"/>
    <w:rsid w:val="00824513"/>
    <w:rsid w:val="008965C3"/>
    <w:rsid w:val="008A4178"/>
    <w:rsid w:val="00912111"/>
    <w:rsid w:val="0093523A"/>
    <w:rsid w:val="00A60568"/>
    <w:rsid w:val="00AA218A"/>
    <w:rsid w:val="00AB03E9"/>
    <w:rsid w:val="00AC54E0"/>
    <w:rsid w:val="00B008F8"/>
    <w:rsid w:val="00B92131"/>
    <w:rsid w:val="00BA74F7"/>
    <w:rsid w:val="00C07C0D"/>
    <w:rsid w:val="00C31D5B"/>
    <w:rsid w:val="00C57CE6"/>
    <w:rsid w:val="00C74005"/>
    <w:rsid w:val="00CA080D"/>
    <w:rsid w:val="00CC120C"/>
    <w:rsid w:val="00CF7C19"/>
    <w:rsid w:val="00CF7E97"/>
    <w:rsid w:val="00D2498A"/>
    <w:rsid w:val="00D47861"/>
    <w:rsid w:val="00D7347F"/>
    <w:rsid w:val="00DA44DA"/>
    <w:rsid w:val="00E00CC1"/>
    <w:rsid w:val="00EA140D"/>
    <w:rsid w:val="00EF3E6E"/>
    <w:rsid w:val="00F11320"/>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9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423735-8AED-4D61-B4CE-B5A8ECE7C9C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5276ADB-D456-427D-962D-106B6A1AD86E}">
  <ds:schemaRefs>
    <ds:schemaRef ds:uri="http://schemas.microsoft.com/sharepoint/v3/contenttype/forms"/>
  </ds:schemaRefs>
</ds:datastoreItem>
</file>

<file path=customXml/itemProps3.xml><?xml version="1.0" encoding="utf-8"?>
<ds:datastoreItem xmlns:ds="http://schemas.openxmlformats.org/officeDocument/2006/customXml" ds:itemID="{10E2989C-DCE5-4A16-9669-C76F6D371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160AEC5-5E11-4103-8795-21A6DF6F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1747</Words>
  <Characters>9959</Characters>
  <Application>Microsoft Office Word</Application>
  <DocSecurity>0</DocSecurity>
  <Lines>82</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2020-10-23T12:34:00Z</dcterms:created>
  <dcterms:modified xsi:type="dcterms:W3CDTF">2020-10-27T14:35:00Z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