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EB0AD" w14:textId="77777777" w:rsidR="009361DB" w:rsidRDefault="009361DB" w:rsidP="002240E1">
      <w:pPr>
        <w:pStyle w:val="RStekst"/>
        <w:rPr>
          <w:b/>
          <w:spacing w:val="-2"/>
        </w:rPr>
      </w:pPr>
    </w:p>
    <w:p w14:paraId="493DC5B9" w14:textId="77777777" w:rsidR="009361DB" w:rsidRDefault="009361DB" w:rsidP="002240E1">
      <w:pPr>
        <w:pStyle w:val="RStekst"/>
        <w:rPr>
          <w:b/>
          <w:spacing w:val="-2"/>
        </w:rPr>
      </w:pPr>
    </w:p>
    <w:p w14:paraId="398C3B11" w14:textId="23ECA9E0" w:rsidR="002240E1" w:rsidRPr="00136EF6" w:rsidRDefault="00B24D61" w:rsidP="002240E1">
      <w:pPr>
        <w:pStyle w:val="RStekst"/>
        <w:rPr>
          <w:b/>
          <w:i/>
          <w:spacing w:val="-2"/>
        </w:rPr>
      </w:pPr>
      <w:r w:rsidRPr="00136EF6">
        <w:rPr>
          <w:b/>
          <w:spacing w:val="-2"/>
        </w:rPr>
        <w:t xml:space="preserve">Povzetek revizijskega poročila </w:t>
      </w:r>
      <w:r w:rsidR="009361DB" w:rsidRPr="009361DB">
        <w:rPr>
          <w:b/>
          <w:i/>
          <w:spacing w:val="-2"/>
        </w:rPr>
        <w:t>Regionalni razvoj</w:t>
      </w:r>
    </w:p>
    <w:p w14:paraId="10472522" w14:textId="3B903A2C" w:rsidR="00A05BB1" w:rsidRDefault="00A05BB1" w:rsidP="00D2498A">
      <w:pPr>
        <w:pStyle w:val="RStekst"/>
      </w:pPr>
    </w:p>
    <w:p w14:paraId="61D731C2" w14:textId="77777777" w:rsidR="009361DB" w:rsidRDefault="009361DB" w:rsidP="00D2498A">
      <w:pPr>
        <w:pStyle w:val="RStekst"/>
      </w:pPr>
    </w:p>
    <w:p w14:paraId="7E8723EA" w14:textId="77777777" w:rsidR="009361DB" w:rsidRDefault="009361DB" w:rsidP="009361DB">
      <w:pPr>
        <w:pStyle w:val="RStekst"/>
      </w:pPr>
      <w:r>
        <w:t xml:space="preserve">Računsko sodišče je izvedlo revizijo učinkovitosti poslovanja </w:t>
      </w:r>
      <w:r>
        <w:rPr>
          <w:i/>
        </w:rPr>
        <w:t>Vlade Republike Slovenije</w:t>
      </w:r>
      <w:r>
        <w:t xml:space="preserve">, </w:t>
      </w:r>
      <w:r>
        <w:rPr>
          <w:bCs w:val="0"/>
          <w:i/>
          <w:lang w:eastAsia="sl-SI"/>
        </w:rPr>
        <w:t>Ministrstva za gospodarski razvoj in tehnologijo</w:t>
      </w:r>
      <w:r>
        <w:rPr>
          <w:bCs w:val="0"/>
          <w:lang w:eastAsia="sl-SI"/>
        </w:rPr>
        <w:t>, ki je pristojno za regionalno politiko</w:t>
      </w:r>
      <w:r>
        <w:t xml:space="preserve">, in 6 občin: </w:t>
      </w:r>
      <w:r>
        <w:rPr>
          <w:i/>
          <w:lang w:eastAsia="sl-SI"/>
        </w:rPr>
        <w:t>Občine Tolmin, Občine Idrija, Občine Postojna, Občine Ilirska Bistrica, Mestne občine Novo mesto in Občine Ribnica</w:t>
      </w:r>
      <w:r>
        <w:t xml:space="preserve"> pri vodenju regionalnega razvoja v obdobju od leta 2014 do leta 2017. Računsko sodišče je obravnavalo načrtovanje regionalne politike in izvajanje nalog regionalnega razvoja, za kar so pristojne država in občine.</w:t>
      </w:r>
    </w:p>
    <w:p w14:paraId="2179C5E4" w14:textId="77777777" w:rsidR="009361DB" w:rsidRDefault="009361DB" w:rsidP="009361DB">
      <w:pPr>
        <w:pStyle w:val="RStekst"/>
      </w:pPr>
    </w:p>
    <w:p w14:paraId="57A9754C" w14:textId="77777777" w:rsidR="009361DB" w:rsidRDefault="009361DB" w:rsidP="009361DB">
      <w:pPr>
        <w:pStyle w:val="RStekst"/>
      </w:pPr>
      <w:r>
        <w:t xml:space="preserve">Računsko sodišče meni, da sta bila </w:t>
      </w:r>
      <w:r>
        <w:rPr>
          <w:i/>
        </w:rPr>
        <w:t>Vlada Republike Slovenije</w:t>
      </w:r>
      <w:r>
        <w:t xml:space="preserve"> in</w:t>
      </w:r>
      <w:r>
        <w:rPr>
          <w:i/>
        </w:rPr>
        <w:t xml:space="preserve"> </w:t>
      </w:r>
      <w:r>
        <w:rPr>
          <w:bCs w:val="0"/>
          <w:i/>
          <w:lang w:eastAsia="sl-SI"/>
        </w:rPr>
        <w:t>Ministrstvo za gospodarski razvoj in tehnologijo</w:t>
      </w:r>
      <w:r>
        <w:t xml:space="preserve"> </w:t>
      </w:r>
      <w:r>
        <w:rPr>
          <w:i/>
        </w:rPr>
        <w:t>delno učinkovita</w:t>
      </w:r>
      <w:r>
        <w:t xml:space="preserve"> pri vodenju regionalnega razvoja.</w:t>
      </w:r>
    </w:p>
    <w:p w14:paraId="1B05CAAA" w14:textId="77777777" w:rsidR="009361DB" w:rsidRDefault="009361DB" w:rsidP="009361DB">
      <w:pPr>
        <w:pStyle w:val="RStekst"/>
      </w:pPr>
    </w:p>
    <w:p w14:paraId="483C9E5E" w14:textId="77777777" w:rsidR="009361DB" w:rsidRDefault="009361DB" w:rsidP="009361DB">
      <w:pPr>
        <w:pStyle w:val="RStekst"/>
      </w:pPr>
      <w:r>
        <w:t xml:space="preserve">Ustava Republike Slovenije v 5. členu določa, da </w:t>
      </w:r>
      <w:r>
        <w:rPr>
          <w:szCs w:val="22"/>
        </w:rPr>
        <w:t>država na svojem ozemlju med drugim ustvarja možnosti za skladen civilizacijski in kulturni razvoj Slovenije</w:t>
      </w:r>
      <w:r>
        <w:t xml:space="preserve">. </w:t>
      </w:r>
      <w:r>
        <w:rPr>
          <w:szCs w:val="22"/>
        </w:rPr>
        <w:t xml:space="preserve">Državni zbor Republike Slovenije še ni sprejel zakona o ustanovitvi pokrajin, sprejel pa je </w:t>
      </w:r>
      <w:r>
        <w:t>Zakon o spodbujanju skladnega regionalnega razvoja.</w:t>
      </w:r>
    </w:p>
    <w:p w14:paraId="58946858" w14:textId="77777777" w:rsidR="009361DB" w:rsidRDefault="009361DB" w:rsidP="009361DB">
      <w:pPr>
        <w:pStyle w:val="RStekst"/>
      </w:pPr>
    </w:p>
    <w:p w14:paraId="5073DCE5" w14:textId="77777777" w:rsidR="009361DB" w:rsidRDefault="009361DB" w:rsidP="009361DB">
      <w:pPr>
        <w:pStyle w:val="RStekst"/>
      </w:pPr>
      <w:r>
        <w:t xml:space="preserve">Vlada Republike Slovenije s strateškimi dokumenti ni opredelila ciljev in usmeritev za pripravo regionalnih razvojnih programov. </w:t>
      </w:r>
      <w:r>
        <w:rPr>
          <w:bCs w:val="0"/>
          <w:lang w:eastAsia="sl-SI"/>
        </w:rPr>
        <w:t>Ministrstvo za gospodarski razvoj in tehnologijo</w:t>
      </w:r>
      <w:r>
        <w:t xml:space="preserve"> pri načrtovanju v svojih programih ni celostno obravnavalo ukrepov, ki vplivajo na regionalni razvoj, je pa na svojih spletnih straneh navedlo cilje za področje skladnega regionalnega razvoja, ki pa niso določeni na način, da bi bilo mogoče preveriti njihovo doseganje.</w:t>
      </w:r>
    </w:p>
    <w:p w14:paraId="07EE30BC" w14:textId="77777777" w:rsidR="009361DB" w:rsidRDefault="009361DB" w:rsidP="009361DB">
      <w:pPr>
        <w:pStyle w:val="RStekst"/>
      </w:pPr>
    </w:p>
    <w:p w14:paraId="57D05338" w14:textId="77777777" w:rsidR="009361DB" w:rsidRDefault="009361DB" w:rsidP="009361DB">
      <w:pPr>
        <w:pStyle w:val="RStekst"/>
      </w:pPr>
      <w:r>
        <w:rPr>
          <w:bCs w:val="0"/>
          <w:lang w:eastAsia="sl-SI"/>
        </w:rPr>
        <w:t>Ministrstvo za gospodarski razvoj in tehnologijo</w:t>
      </w:r>
      <w:r>
        <w:t xml:space="preserve"> je za potrebe priprave regionalnih razvojnih programov programskega obdobja 2014–2020 s predstavniki razvojnih regij sicer pogosto sodelovalo, vendar jim konkretnih vsebinskih usmeritev o regijskih projektih, ki jih bo finančno podprla država, do leta 2016 ni podajalo, saj do takrat pristojna ministrstva še niso pripravila </w:t>
      </w:r>
      <w:r>
        <w:rPr>
          <w:rFonts w:cs="Calibri"/>
          <w:color w:val="000000"/>
          <w:szCs w:val="22"/>
        </w:rPr>
        <w:t>lastnih sektorskih projektov za razvoj razvojnih regij</w:t>
      </w:r>
      <w:r>
        <w:t>.</w:t>
      </w:r>
    </w:p>
    <w:p w14:paraId="6E156AA6" w14:textId="77777777" w:rsidR="009361DB" w:rsidRDefault="009361DB" w:rsidP="009361DB">
      <w:pPr>
        <w:pStyle w:val="RStekst"/>
      </w:pPr>
    </w:p>
    <w:p w14:paraId="46A9644E" w14:textId="77777777" w:rsidR="009361DB" w:rsidRDefault="009361DB" w:rsidP="009361DB">
      <w:pPr>
        <w:pStyle w:val="RStekst"/>
      </w:pPr>
      <w:r>
        <w:rPr>
          <w:bCs w:val="0"/>
          <w:lang w:eastAsia="sl-SI"/>
        </w:rPr>
        <w:t>Ministrstvo za gospodarski razvoj in tehnologijo</w:t>
      </w:r>
      <w:r>
        <w:t xml:space="preserve"> je pregledalo predloge regionalnih razvojnih programov in po zahtevanih dopolnitvah vsem regionalnim razvojnim programom 12 razvojnih regij v letu 2015 podalo pozitivna mnenja. Vloga regionalnih razvojnih programov ni bila povsem jasna, predvsem v smislu, ali naj program za ukrepe in projekte vsebuje tudi realno opredeljen način izvedbe in finančne vire. Nejasnost vloge regionalnih razvojnih programov pa izhaja tudi iz določb Zakona o spodbujanju skladnega regionalnega razvoja, ki razen dogovorov za razvoj regij ne predvideva drugih oblik uresničevanja.</w:t>
      </w:r>
    </w:p>
    <w:p w14:paraId="6B79E3DE" w14:textId="77777777" w:rsidR="009361DB" w:rsidRDefault="009361DB" w:rsidP="009361DB">
      <w:pPr>
        <w:pStyle w:val="RStekst"/>
      </w:pPr>
    </w:p>
    <w:p w14:paraId="3E27AC31" w14:textId="77777777" w:rsidR="009361DB" w:rsidRDefault="009361DB" w:rsidP="009361DB">
      <w:pPr>
        <w:pStyle w:val="RStekst"/>
      </w:pPr>
      <w:r>
        <w:rPr>
          <w:bCs w:val="0"/>
          <w:lang w:eastAsia="sl-SI"/>
        </w:rPr>
        <w:t>Ministrstvo za gospodarski razvoj in tehnologijo</w:t>
      </w:r>
      <w:r>
        <w:t xml:space="preserve"> je ob pomoči Vlade Republike Slovenije v letih 2016 in 2017 vodilo prvi postopek usklajevanj med državo in razvojnimi regijami o ključnih regijskih projektih, </w:t>
      </w:r>
      <w:r w:rsidRPr="0033231E">
        <w:rPr>
          <w:spacing w:val="-2"/>
        </w:rPr>
        <w:t>ki jih bo država podprla, vendar je postopek potekal počasi in ni bil zaključen v predvidenih rokih. Za projekte, vključene v dogovore za razvoj regij leta 2017, ki so temeljili na sektorskih (ministrskih) projektih,</w:t>
      </w:r>
      <w:r>
        <w:t xml:space="preserve"> </w:t>
      </w:r>
      <w:r>
        <w:rPr>
          <w:bCs w:val="0"/>
          <w:lang w:eastAsia="sl-SI"/>
        </w:rPr>
        <w:t>merila za izbor sektorskih projektov za ministrstva oziroma vlado niso bila zahtevana in jih ministrstva oziroma vlada tudi niso izkazali.</w:t>
      </w:r>
    </w:p>
    <w:p w14:paraId="1305A6E6" w14:textId="77777777" w:rsidR="009361DB" w:rsidRDefault="009361DB" w:rsidP="009361DB">
      <w:pPr>
        <w:pStyle w:val="RStekst"/>
      </w:pPr>
    </w:p>
    <w:p w14:paraId="5AE089E3" w14:textId="77777777" w:rsidR="009361DB" w:rsidRDefault="009361DB" w:rsidP="009361DB">
      <w:pPr>
        <w:pStyle w:val="RStekst"/>
        <w:keepLines/>
      </w:pPr>
      <w:r>
        <w:lastRenderedPageBreak/>
        <w:t xml:space="preserve">Vlada Republike Slovenije in </w:t>
      </w:r>
      <w:r>
        <w:rPr>
          <w:bCs w:val="0"/>
          <w:lang w:eastAsia="sl-SI"/>
        </w:rPr>
        <w:t>Ministrstvo za gospodarski razvoj in tehnologijo</w:t>
      </w:r>
      <w:r>
        <w:t xml:space="preserve"> sta spremljala delovanje </w:t>
      </w:r>
      <w:r w:rsidRPr="0033231E">
        <w:rPr>
          <w:spacing w:val="-2"/>
        </w:rPr>
        <w:t xml:space="preserve">sistema regionalnega razvoja in v obdobju, na katero se nanaša revizija, predlagala nekatere spremembe predpisov, ki so bile sprejete. </w:t>
      </w:r>
      <w:r w:rsidRPr="0033231E">
        <w:rPr>
          <w:bCs w:val="0"/>
          <w:spacing w:val="-2"/>
          <w:lang w:eastAsia="sl-SI"/>
        </w:rPr>
        <w:t xml:space="preserve">Ministrstvo za gospodarski razvoj in tehnologijo je spremljalo delovanje </w:t>
      </w:r>
      <w:r w:rsidRPr="0033231E">
        <w:rPr>
          <w:spacing w:val="-2"/>
        </w:rPr>
        <w:t>regionalnih razvojnih agencij, ni pa spremljalo, obravnavalo in vplivalo na delovanje regijskih razvojnih mrež.</w:t>
      </w:r>
    </w:p>
    <w:p w14:paraId="74FBA4F0" w14:textId="77777777" w:rsidR="009361DB" w:rsidRDefault="009361DB" w:rsidP="009361DB">
      <w:pPr>
        <w:pStyle w:val="RStekst"/>
        <w:rPr>
          <w:bCs w:val="0"/>
          <w:lang w:eastAsia="sl-SI"/>
        </w:rPr>
      </w:pPr>
    </w:p>
    <w:p w14:paraId="4A498D8E" w14:textId="77777777" w:rsidR="009361DB" w:rsidRDefault="009361DB" w:rsidP="009361DB">
      <w:pPr>
        <w:pStyle w:val="RStekst"/>
      </w:pPr>
      <w:r>
        <w:rPr>
          <w:bCs w:val="0"/>
          <w:lang w:eastAsia="sl-SI"/>
        </w:rPr>
        <w:t>Ministrstvo za gospodarski razvoj in tehnologijo</w:t>
      </w:r>
      <w:r>
        <w:t xml:space="preserve"> ni imelo vzpostavljenega celostnega sistema spremljanja stanja, ukrepov in učinkov na področju regionalnega razvoja, pripravljalo pa je poročila za posamezna problemska območja. Vlada Republike Slovenije je za spremljanje stanja uporabljala Poročila o razvoju, ki jih pripravlja Urad Republike Slovenije za makroekonomske analize in razvoj, vendar pa teh podatkov ne vlada ne ministrstvo nista nadalje obdelovala.</w:t>
      </w:r>
    </w:p>
    <w:p w14:paraId="02C85662" w14:textId="77777777" w:rsidR="009361DB" w:rsidRDefault="009361DB" w:rsidP="009361DB">
      <w:pPr>
        <w:pStyle w:val="RStekst"/>
      </w:pPr>
    </w:p>
    <w:p w14:paraId="5AA6A040" w14:textId="77777777" w:rsidR="009361DB" w:rsidRDefault="009361DB" w:rsidP="009361DB">
      <w:pPr>
        <w:pStyle w:val="RStekst"/>
      </w:pPr>
      <w:r>
        <w:t>V revizijski pregled je bilo vključenih 6 občin iz 3 razvojnih regij (od 12), in sicer:</w:t>
      </w:r>
    </w:p>
    <w:p w14:paraId="455EAF5D" w14:textId="77777777" w:rsidR="009361DB" w:rsidRDefault="009361DB" w:rsidP="009361DB">
      <w:pPr>
        <w:pStyle w:val="RSnatevanje"/>
        <w:numPr>
          <w:ilvl w:val="0"/>
          <w:numId w:val="3"/>
        </w:numPr>
      </w:pPr>
      <w:r>
        <w:t>Občina Tolmin in Občina Idrija (Goriška razvojna regija);</w:t>
      </w:r>
    </w:p>
    <w:p w14:paraId="5C7A53C8" w14:textId="77777777" w:rsidR="009361DB" w:rsidRDefault="009361DB" w:rsidP="009361DB">
      <w:pPr>
        <w:pStyle w:val="RSnatevanje"/>
        <w:numPr>
          <w:ilvl w:val="0"/>
          <w:numId w:val="3"/>
        </w:numPr>
      </w:pPr>
      <w:r>
        <w:t>Občina Postojna in Občina Ilirska Bistrica (Primorsko-notranjska razvojna regija) ter</w:t>
      </w:r>
    </w:p>
    <w:p w14:paraId="5BED070E" w14:textId="77777777" w:rsidR="009361DB" w:rsidRDefault="009361DB" w:rsidP="009361DB">
      <w:pPr>
        <w:pStyle w:val="RSnatevanje"/>
        <w:numPr>
          <w:ilvl w:val="0"/>
          <w:numId w:val="3"/>
        </w:numPr>
      </w:pPr>
      <w:r>
        <w:t>Mestna občina Novo mesto in Občina Ribnica (razvojna regija Jugovzhodna Slovenija).</w:t>
      </w:r>
    </w:p>
    <w:p w14:paraId="2F349767" w14:textId="77777777" w:rsidR="009361DB" w:rsidRDefault="009361DB" w:rsidP="009361DB">
      <w:pPr>
        <w:pStyle w:val="RStekst"/>
        <w:spacing w:before="0" w:after="0" w:line="240" w:lineRule="auto"/>
      </w:pPr>
    </w:p>
    <w:p w14:paraId="0FA112CD" w14:textId="77777777" w:rsidR="009361DB" w:rsidRDefault="009361DB" w:rsidP="009361DB">
      <w:pPr>
        <w:pStyle w:val="RStekst"/>
      </w:pPr>
      <w:r>
        <w:t>Računsko sodišče meni, da so bile občine (</w:t>
      </w:r>
      <w:r>
        <w:rPr>
          <w:i/>
          <w:lang w:eastAsia="sl-SI"/>
        </w:rPr>
        <w:t>Občina Tolmin, Občina Idrija, Občina Postojna, Občina Ilirska Bistrica, Mestna občina Novo mesto in Občina Ribnica</w:t>
      </w:r>
      <w:r>
        <w:rPr>
          <w:lang w:eastAsia="sl-SI"/>
        </w:rPr>
        <w:t>)</w:t>
      </w:r>
      <w:r>
        <w:t xml:space="preserve"> </w:t>
      </w:r>
      <w:r>
        <w:rPr>
          <w:i/>
        </w:rPr>
        <w:t xml:space="preserve">delno učinkovite </w:t>
      </w:r>
      <w:r>
        <w:t xml:space="preserve">pri vodenju regionalnega razvoja. </w:t>
      </w:r>
    </w:p>
    <w:p w14:paraId="315B07C8" w14:textId="77777777" w:rsidR="009361DB" w:rsidRDefault="009361DB" w:rsidP="009361DB">
      <w:pPr>
        <w:pStyle w:val="RStekst"/>
      </w:pPr>
    </w:p>
    <w:p w14:paraId="0C465E2C" w14:textId="77777777" w:rsidR="009361DB" w:rsidRDefault="009361DB" w:rsidP="009361DB">
      <w:pPr>
        <w:pStyle w:val="RStekst"/>
      </w:pPr>
      <w:r>
        <w:t>Vse občine so v svojih strateških dokumentih in letnih proračunih določile nekaj ciljev, ki se posredno navezujejo na regionalni razvoj (najbolje Občina Tolmin in Mestna občina Novo mesto), niso pa neposredno določile ciljev občine na področju regionalnega razvoja. So pa vse občine potrdile skupne strateške dokumente razvojne regije (regionalne razvojne programe), ki vsebujejo regionalne cilje.</w:t>
      </w:r>
    </w:p>
    <w:p w14:paraId="029781A6" w14:textId="77777777" w:rsidR="009361DB" w:rsidRDefault="009361DB" w:rsidP="009361DB">
      <w:pPr>
        <w:pStyle w:val="RStekst"/>
      </w:pPr>
    </w:p>
    <w:p w14:paraId="0955719C" w14:textId="77777777" w:rsidR="009361DB" w:rsidRDefault="009361DB" w:rsidP="009361DB">
      <w:pPr>
        <w:pStyle w:val="RStekst"/>
        <w:rPr>
          <w:lang w:eastAsia="sl-SI"/>
        </w:rPr>
      </w:pPr>
      <w:r>
        <w:rPr>
          <w:lang w:eastAsia="sl-SI"/>
        </w:rPr>
        <w:t xml:space="preserve">Vse občine so sodelovale pri pripravi </w:t>
      </w:r>
      <w:r>
        <w:t xml:space="preserve">regionalnih razvojnih programov </w:t>
      </w:r>
      <w:r>
        <w:rPr>
          <w:lang w:eastAsia="sl-SI"/>
        </w:rPr>
        <w:t xml:space="preserve">in podale svoje predloge projektov, ti predlogi so večinoma izhajali iz neposrednih potreb občine predlagateljice in ne širšega vidika skladnega razvoja </w:t>
      </w:r>
      <w:r>
        <w:t xml:space="preserve">razvojne </w:t>
      </w:r>
      <w:r>
        <w:rPr>
          <w:lang w:eastAsia="sl-SI"/>
        </w:rPr>
        <w:t>regije.</w:t>
      </w:r>
    </w:p>
    <w:p w14:paraId="2DF418E9" w14:textId="77777777" w:rsidR="009361DB" w:rsidRDefault="009361DB" w:rsidP="009361DB">
      <w:pPr>
        <w:pStyle w:val="RStekst"/>
        <w:rPr>
          <w:lang w:eastAsia="sl-SI"/>
        </w:rPr>
      </w:pPr>
    </w:p>
    <w:p w14:paraId="086C65B3" w14:textId="77777777" w:rsidR="009361DB" w:rsidRDefault="009361DB" w:rsidP="009361DB">
      <w:pPr>
        <w:pStyle w:val="RStekst"/>
      </w:pPr>
      <w:r>
        <w:t xml:space="preserve">Lastniški oziroma ustanoviteljski deleži občin v razvojnih institucijah (na primer v regionalnih razvojnih agencijah), ki so med občinami različni, so vplivali na obseg sodelovanja občin z razvojnimi institucijami. </w:t>
      </w:r>
      <w:r>
        <w:rPr>
          <w:lang w:eastAsia="sl-SI"/>
        </w:rPr>
        <w:t xml:space="preserve">Vse občine so </w:t>
      </w:r>
      <w:r>
        <w:t>potrjevale letne programe dela in letna poročila razvojnih institucij (</w:t>
      </w:r>
      <w:r>
        <w:rPr>
          <w:lang w:eastAsia="sl-SI"/>
        </w:rPr>
        <w:t xml:space="preserve">razen Občine Ilirska Bistrica, ki nima ustanoviteljskega oziroma lastniškega deleža v razvojni </w:t>
      </w:r>
      <w:r>
        <w:t>instituciji)</w:t>
      </w:r>
      <w:r>
        <w:rPr>
          <w:lang w:eastAsia="sl-SI"/>
        </w:rPr>
        <w:t xml:space="preserve"> in tako posredno usmerjale delo razvojnih </w:t>
      </w:r>
      <w:r>
        <w:t>institucij</w:t>
      </w:r>
      <w:r>
        <w:rPr>
          <w:lang w:eastAsia="sl-SI"/>
        </w:rPr>
        <w:t xml:space="preserve">, </w:t>
      </w:r>
      <w:r>
        <w:t>niso pa neposredno usmerjale dela razvojnih institucij s podajanjem predlogov in navodil za delo na sejah organov oziroma skupščinah (razen Mestne občine Novo mesto). Računsko sodišče je ocenilo, da so občine (razen Občine Postojna in Občine Ilirska Bistrica) podpirale delovanje razvojnih institucij, katerih solastnice so, v smeri regionalnosti. Ni pa bilo razvidno, da so občine usmerjale delo razvojnih institucij k skladnejšemu razvoju oziroma zmanjševanju razlik znotraj razvojne regije.</w:t>
      </w:r>
    </w:p>
    <w:p w14:paraId="41863E0F" w14:textId="77777777" w:rsidR="009361DB" w:rsidRDefault="009361DB" w:rsidP="009361DB">
      <w:pPr>
        <w:pStyle w:val="RStekst"/>
      </w:pPr>
    </w:p>
    <w:p w14:paraId="5607A638" w14:textId="77777777" w:rsidR="009361DB" w:rsidRDefault="009361DB" w:rsidP="009361DB">
      <w:pPr>
        <w:pStyle w:val="RStekst"/>
        <w:rPr>
          <w:lang w:eastAsia="sl-SI"/>
        </w:rPr>
      </w:pPr>
      <w:r>
        <w:t>Računsko sodišče je ugotovilo, da občine niso ustrezno zmanjšale tveganja za podvajanje osnovnih oziroma splošnih razvojnih nalog razvojnih institucij (na primer regionalne razvojne agencije in območne razvojne agencije), ki jih sofinancirajo občine (Občina Postojna in Občina Ribnica), vseeno pa neposrednih podvajanj konkretnih programov nismo ugotovili</w:t>
      </w:r>
      <w:r>
        <w:rPr>
          <w:lang w:eastAsia="sl-SI"/>
        </w:rPr>
        <w:t>.</w:t>
      </w:r>
    </w:p>
    <w:p w14:paraId="2DE98BF4" w14:textId="77777777" w:rsidR="009361DB" w:rsidRDefault="009361DB" w:rsidP="009361DB">
      <w:pPr>
        <w:pStyle w:val="RStekst"/>
      </w:pPr>
    </w:p>
    <w:p w14:paraId="7E808FA0" w14:textId="4F664D00" w:rsidR="009361DB" w:rsidRDefault="009361DB" w:rsidP="009361DB">
      <w:pPr>
        <w:pStyle w:val="RStekst"/>
      </w:pPr>
      <w:r>
        <w:t xml:space="preserve">Ureditev sofinanciranja razvojnih institucij je v Zakonu o spodbujanju skladnega regionalnega razvoja razmeroma jasno določena za splošne naloge in za projekte v okviru dogovorov za razvoj regij, v zakonu </w:t>
      </w:r>
      <w:r>
        <w:lastRenderedPageBreak/>
        <w:t>pa neposredno ni določen način financiranja drugih tekočih ali projektnih aktivnosti razvojnih institucij s področja regionalnega razvoja. Za financiranje teh so nekatere občine (Občina Tolmin, Občina Idrija in Občina Ribnica) z institucijami s statusom regijske ali območne razvojne institucije sklepale neposredne pogodbe. Računsko sodišče je ocenilo, da bi za namene učinkovitosti in preglednosti morala Vlada</w:t>
      </w:r>
      <w:r>
        <w:t> </w:t>
      </w:r>
      <w:bookmarkStart w:id="0" w:name="_GoBack"/>
      <w:bookmarkEnd w:id="0"/>
      <w:r>
        <w:t xml:space="preserve">Republike Slovenije in </w:t>
      </w:r>
      <w:r>
        <w:rPr>
          <w:bCs w:val="0"/>
          <w:lang w:eastAsia="sl-SI"/>
        </w:rPr>
        <w:t>Ministrstvo za gospodarski razvoj in tehnologijo</w:t>
      </w:r>
      <w:r>
        <w:t xml:space="preserve"> financiranje razvojnih institucij celostno urediti v predpisih, ki urejajo financiranje razvojnih institucij.</w:t>
      </w:r>
    </w:p>
    <w:p w14:paraId="2512F2CD" w14:textId="77777777" w:rsidR="009361DB" w:rsidRDefault="009361DB" w:rsidP="009361DB">
      <w:pPr>
        <w:pStyle w:val="RStekst"/>
      </w:pPr>
    </w:p>
    <w:p w14:paraId="62F957BF" w14:textId="77777777" w:rsidR="009361DB" w:rsidRDefault="009361DB" w:rsidP="009361DB">
      <w:pPr>
        <w:pStyle w:val="RStekst"/>
      </w:pPr>
      <w:r>
        <w:t>Projektov razvojnih institucij, ki bi jih hkrati finančno podprli obe občini razvojne regije, vključeni v revizijo, je bilo v obdobju, na katero se nanaša revizija, malo. Pri tem je večinoma šlo za ukrepe, ki jih sistemsko sofinancira država (na primer regijske štipendijske sheme). Navedeno in dejstvo, da projekti v regionalnih razvojnih programih večinoma ne temeljijo na analizah, ki bi upoštevale stanje in razlike med vsemi območji v razvojni regiji, kaže na to, da so občine podpirale malo projektov razvojnih institucij, ki bi jih po kriterijih računskega sodišča lahko označili kot regijske projekte.</w:t>
      </w:r>
    </w:p>
    <w:p w14:paraId="12A819D9" w14:textId="77777777" w:rsidR="009361DB" w:rsidRDefault="009361DB" w:rsidP="009361DB">
      <w:pPr>
        <w:pStyle w:val="RStekst"/>
      </w:pPr>
    </w:p>
    <w:p w14:paraId="55F45D0B" w14:textId="77777777" w:rsidR="009361DB" w:rsidRDefault="009361DB" w:rsidP="009361DB">
      <w:pPr>
        <w:pStyle w:val="RStekst"/>
      </w:pPr>
      <w:r>
        <w:t>Računsko sodišče je ocenilo, da v sistemu regionalnega razvoja ni jasno opredeljena vloga občin za skladen razvoj znotraj razvojne regije, saj občine, vključene v revizijo, niso podpirale projektov, ki bi neposredno povečevali skladnost razvoja znotraj razvojne regije, tovrstnih usmeritev tudi ni bilo v letnih programih dela in letnih poročilih razvojnih institucij.</w:t>
      </w:r>
    </w:p>
    <w:p w14:paraId="1AA24637" w14:textId="77777777" w:rsidR="009361DB" w:rsidRDefault="009361DB" w:rsidP="009361DB">
      <w:pPr>
        <w:pStyle w:val="RStekst"/>
      </w:pPr>
    </w:p>
    <w:p w14:paraId="0D87156B" w14:textId="5E6C6FF0" w:rsidR="00A05BB1" w:rsidRDefault="009361DB" w:rsidP="009361DB">
      <w:pPr>
        <w:pStyle w:val="RStekst"/>
      </w:pPr>
      <w:r>
        <w:t xml:space="preserve">Računsko sodišče je od Vlade Republike Slovenije zahtevalo </w:t>
      </w:r>
      <w:r>
        <w:rPr>
          <w:i/>
        </w:rPr>
        <w:t>predložitev odzivnega poročila</w:t>
      </w:r>
      <w:r>
        <w:t xml:space="preserve">, v katerem mora izkazati pripravo načrta aktivnosti za opredelitev usmeritev in ciljev regionalne politike; vsem revidirancem pa je podalo tudi </w:t>
      </w:r>
      <w:r>
        <w:rPr>
          <w:i/>
        </w:rPr>
        <w:t>priporočila</w:t>
      </w:r>
      <w:r>
        <w:t>.</w:t>
      </w:r>
    </w:p>
    <w:p w14:paraId="510D109E" w14:textId="7D434FAB" w:rsidR="00B14FC7" w:rsidRDefault="00B14FC7" w:rsidP="00D2498A">
      <w:pPr>
        <w:pStyle w:val="RStekst"/>
      </w:pPr>
    </w:p>
    <w:p w14:paraId="1A543DE6" w14:textId="77777777" w:rsidR="00B14FC7" w:rsidRDefault="00B14FC7" w:rsidP="00D2498A">
      <w:pPr>
        <w:pStyle w:val="RStekst"/>
      </w:pPr>
    </w:p>
    <w:p w14:paraId="64F6B33C" w14:textId="5BA7594D" w:rsidR="00B24D61" w:rsidRDefault="00B24D61" w:rsidP="00D2498A">
      <w:pPr>
        <w:pStyle w:val="RStekst"/>
      </w:pPr>
      <w:r>
        <w:t xml:space="preserve">Ljubljana, </w:t>
      </w:r>
      <w:r w:rsidR="009361DB">
        <w:t>3.</w:t>
      </w:r>
      <w:r w:rsidR="00B323C3" w:rsidRPr="0031008A">
        <w:t xml:space="preserve"> </w:t>
      </w:r>
      <w:r w:rsidR="009361DB">
        <w:t>junija</w:t>
      </w:r>
      <w:r w:rsidR="00B323C3" w:rsidRPr="0031008A">
        <w:t xml:space="preserve"> 2020</w:t>
      </w:r>
    </w:p>
    <w:sectPr w:rsidR="00B24D6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3A1DE" w14:textId="77777777" w:rsidR="00160595" w:rsidRDefault="00160595">
      <w:r>
        <w:separator/>
      </w:r>
    </w:p>
  </w:endnote>
  <w:endnote w:type="continuationSeparator" w:id="0">
    <w:p w14:paraId="5FDDF2D0" w14:textId="77777777" w:rsidR="00160595" w:rsidRDefault="001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713B6" w14:textId="77777777" w:rsidR="00741808" w:rsidRDefault="0074180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4DAE" w14:textId="77777777" w:rsidR="002C5DCD" w:rsidRDefault="002C5DCD">
    <w:pPr>
      <w:jc w:val="center"/>
    </w:pPr>
    <w:r>
      <w:fldChar w:fldCharType="begin"/>
    </w:r>
    <w:r>
      <w:instrText xml:space="preserve"> PAGE </w:instrText>
    </w:r>
    <w:r>
      <w:fldChar w:fldCharType="separate"/>
    </w:r>
    <w:r w:rsidR="00C76D2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1746" w14:textId="77777777" w:rsidR="002C5DCD" w:rsidRDefault="008965C3">
    <w:r>
      <w:rPr>
        <w:noProof/>
        <w:lang w:eastAsia="sl-SI"/>
      </w:rPr>
      <w:drawing>
        <wp:anchor distT="0" distB="0" distL="114300" distR="114300" simplePos="0" relativeHeight="251663360" behindDoc="0" locked="1" layoutInCell="1" allowOverlap="1" wp14:anchorId="23F7E90F" wp14:editId="78B4A54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8C9BB" w14:textId="77777777" w:rsidR="00160595" w:rsidRDefault="00160595">
      <w:r>
        <w:separator/>
      </w:r>
    </w:p>
  </w:footnote>
  <w:footnote w:type="continuationSeparator" w:id="0">
    <w:p w14:paraId="00B4686C" w14:textId="77777777" w:rsidR="00160595" w:rsidRDefault="00160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277E" w14:textId="77777777" w:rsidR="00741808" w:rsidRDefault="0074180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87191" w14:textId="77777777" w:rsidR="00741808" w:rsidRDefault="0074180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7AD8E" w14:textId="77777777" w:rsidR="002C5DCD" w:rsidRDefault="00742630">
    <w:r>
      <w:rPr>
        <w:noProof/>
        <w:lang w:eastAsia="sl-SI"/>
      </w:rPr>
      <w:drawing>
        <wp:anchor distT="0" distB="0" distL="114300" distR="114300" simplePos="0" relativeHeight="251661312" behindDoc="0" locked="1" layoutInCell="1" allowOverlap="1" wp14:anchorId="47786F14" wp14:editId="724A359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61"/>
    <w:rsid w:val="00022A74"/>
    <w:rsid w:val="00132099"/>
    <w:rsid w:val="00136EF6"/>
    <w:rsid w:val="00160595"/>
    <w:rsid w:val="001E3435"/>
    <w:rsid w:val="001E7547"/>
    <w:rsid w:val="002240E1"/>
    <w:rsid w:val="002848B4"/>
    <w:rsid w:val="002C5DCD"/>
    <w:rsid w:val="002D37F3"/>
    <w:rsid w:val="002F2498"/>
    <w:rsid w:val="0031008A"/>
    <w:rsid w:val="003535E4"/>
    <w:rsid w:val="00555C58"/>
    <w:rsid w:val="00590644"/>
    <w:rsid w:val="005C34F4"/>
    <w:rsid w:val="005F6ED6"/>
    <w:rsid w:val="00647D7F"/>
    <w:rsid w:val="006A2AFA"/>
    <w:rsid w:val="006F039E"/>
    <w:rsid w:val="00714ACF"/>
    <w:rsid w:val="00741808"/>
    <w:rsid w:val="00742630"/>
    <w:rsid w:val="00801011"/>
    <w:rsid w:val="00821909"/>
    <w:rsid w:val="00824513"/>
    <w:rsid w:val="008965C3"/>
    <w:rsid w:val="008A4178"/>
    <w:rsid w:val="00912111"/>
    <w:rsid w:val="009361DB"/>
    <w:rsid w:val="00985FA5"/>
    <w:rsid w:val="00A05BB1"/>
    <w:rsid w:val="00A0713A"/>
    <w:rsid w:val="00A102BE"/>
    <w:rsid w:val="00A70869"/>
    <w:rsid w:val="00A739D2"/>
    <w:rsid w:val="00AA218A"/>
    <w:rsid w:val="00AB03E9"/>
    <w:rsid w:val="00AC54E0"/>
    <w:rsid w:val="00B008F8"/>
    <w:rsid w:val="00B14FC7"/>
    <w:rsid w:val="00B24D61"/>
    <w:rsid w:val="00B323C3"/>
    <w:rsid w:val="00B92131"/>
    <w:rsid w:val="00BA74F7"/>
    <w:rsid w:val="00C07C0D"/>
    <w:rsid w:val="00C31D5B"/>
    <w:rsid w:val="00C57CE6"/>
    <w:rsid w:val="00C74005"/>
    <w:rsid w:val="00C76D22"/>
    <w:rsid w:val="00CF7C19"/>
    <w:rsid w:val="00D2498A"/>
    <w:rsid w:val="00D47861"/>
    <w:rsid w:val="00D7347F"/>
    <w:rsid w:val="00DA44DA"/>
    <w:rsid w:val="00DB07E6"/>
    <w:rsid w:val="00E00CC1"/>
    <w:rsid w:val="00E71B6B"/>
    <w:rsid w:val="00E867B2"/>
    <w:rsid w:val="00EF3E6E"/>
    <w:rsid w:val="00F150E1"/>
    <w:rsid w:val="00F248CB"/>
    <w:rsid w:val="00F558BC"/>
    <w:rsid w:val="00F6254E"/>
    <w:rsid w:val="00FA0E52"/>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2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footnote text"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 w:type="character" w:customStyle="1" w:styleId="RSnatevanjeZnak">
    <w:name w:val="RS naštevanje Znak"/>
    <w:link w:val="RSnatevanje"/>
    <w:locked/>
    <w:rsid w:val="009361DB"/>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footnote text"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 w:type="character" w:customStyle="1" w:styleId="RSnatevanjeZnak">
    <w:name w:val="RS naštevanje Znak"/>
    <w:link w:val="RSnatevanje"/>
    <w:locked/>
    <w:rsid w:val="009361DB"/>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3AED1-54B8-45E3-9220-27D049B78A5B}">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E71AF10-12D1-4414-B2C6-21733A6FFEAA}">
  <ds:schemaRefs>
    <ds:schemaRef ds:uri="http://schemas.microsoft.com/sharepoint/v3/contenttype/forms"/>
  </ds:schemaRefs>
</ds:datastoreItem>
</file>

<file path=customXml/itemProps3.xml><?xml version="1.0" encoding="utf-8"?>
<ds:datastoreItem xmlns:ds="http://schemas.openxmlformats.org/officeDocument/2006/customXml" ds:itemID="{6AB0A3B7-854E-4235-8CD1-C4BCB0059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7253</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2020-06-02T11:41:00Z</dcterms:created>
  <dcterms:modified xsi:type="dcterms:W3CDTF">2020-06-02T11:52:00Z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