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04CFF" w14:textId="77777777" w:rsidR="00722374" w:rsidRDefault="00722374" w:rsidP="00D2498A">
      <w:pPr>
        <w:pStyle w:val="RStekst"/>
      </w:pPr>
    </w:p>
    <w:p w14:paraId="1C3E635D" w14:textId="44C7C180" w:rsidR="00722374" w:rsidRPr="00F4569E" w:rsidRDefault="00722374" w:rsidP="00F4569E">
      <w:pPr>
        <w:pStyle w:val="RStekst"/>
        <w:rPr>
          <w:b/>
          <w:spacing w:val="-2"/>
        </w:rPr>
      </w:pPr>
      <w:r w:rsidRPr="009176A9">
        <w:rPr>
          <w:b/>
          <w:spacing w:val="-2"/>
        </w:rPr>
        <w:t xml:space="preserve">Povzetek revizijskega poročila </w:t>
      </w:r>
      <w:r w:rsidR="007B25BE" w:rsidRPr="007B25BE">
        <w:rPr>
          <w:b/>
          <w:i/>
          <w:iCs/>
          <w:szCs w:val="22"/>
        </w:rPr>
        <w:t>Pravilnost dela poslovanja Občine Vipava</w:t>
      </w:r>
    </w:p>
    <w:p w14:paraId="5D106F6E" w14:textId="5A8FA9EC" w:rsidR="00F4569E" w:rsidRDefault="00F4569E" w:rsidP="00F4569E">
      <w:pPr>
        <w:pStyle w:val="RStekst"/>
        <w:rPr>
          <w:b/>
          <w:spacing w:val="-2"/>
        </w:rPr>
      </w:pPr>
    </w:p>
    <w:p w14:paraId="5476B034" w14:textId="6852A330" w:rsidR="00F4569E" w:rsidRDefault="00F4569E" w:rsidP="00F4569E">
      <w:pPr>
        <w:pStyle w:val="RStekst"/>
        <w:rPr>
          <w:b/>
          <w:spacing w:val="-2"/>
        </w:rPr>
      </w:pPr>
    </w:p>
    <w:p w14:paraId="187CDBB6" w14:textId="77777777" w:rsidR="007B25BE" w:rsidRPr="007B25BE" w:rsidRDefault="007B25BE" w:rsidP="007B25BE">
      <w:pPr>
        <w:widowControl w:val="0"/>
        <w:rPr>
          <w:bCs/>
        </w:rPr>
      </w:pPr>
      <w:r w:rsidRPr="007B25BE">
        <w:rPr>
          <w:bCs/>
        </w:rPr>
        <w:t xml:space="preserve">Računsko sodišče je revidiralo pravilnost poslovanja Občine Vipava v letu 2018 </w:t>
      </w:r>
      <w:r w:rsidRPr="007B25BE">
        <w:rPr>
          <w:bCs/>
          <w:i/>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7B25BE">
        <w:rPr>
          <w:bCs/>
        </w:rPr>
        <w:t>. Cilj revizije je bil izrek mnenja o pravilnosti poslovanja Občine Vipava v letu 2018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p>
    <w:p w14:paraId="090581B4" w14:textId="77777777" w:rsidR="007B25BE" w:rsidRPr="007B25BE" w:rsidRDefault="007B25BE" w:rsidP="007B25BE">
      <w:pPr>
        <w:widowControl w:val="0"/>
        <w:rPr>
          <w:bCs/>
        </w:rPr>
      </w:pPr>
    </w:p>
    <w:p w14:paraId="334D8CCA" w14:textId="77777777" w:rsidR="007B25BE" w:rsidRPr="007B25BE" w:rsidRDefault="007B25BE" w:rsidP="007B25BE">
      <w:pPr>
        <w:widowControl w:val="0"/>
        <w:rPr>
          <w:bCs/>
        </w:rPr>
      </w:pPr>
      <w:r w:rsidRPr="007B25BE">
        <w:rPr>
          <w:bCs/>
        </w:rPr>
        <w:t xml:space="preserve">Računsko sodišče je o pravilnosti dela poslovanja Občine Vipava v letu 2018 izreklo </w:t>
      </w:r>
      <w:r w:rsidRPr="007B25BE">
        <w:rPr>
          <w:bCs/>
          <w:i/>
        </w:rPr>
        <w:t>negativno mnenje</w:t>
      </w:r>
      <w:r w:rsidRPr="007B25BE">
        <w:rPr>
          <w:bCs/>
        </w:rPr>
        <w:t>, ker občina ni poslovala v skladu s predpisi in pogodbenimi določili v naslednjih primerih:</w:t>
      </w:r>
    </w:p>
    <w:p w14:paraId="411EF647" w14:textId="77777777" w:rsidR="007B25BE" w:rsidRPr="007B25BE" w:rsidRDefault="007B25BE" w:rsidP="007B25BE">
      <w:pPr>
        <w:widowControl w:val="0"/>
        <w:tabs>
          <w:tab w:val="num" w:pos="360"/>
        </w:tabs>
        <w:ind w:left="357" w:hanging="357"/>
        <w:rPr>
          <w:bCs/>
        </w:rPr>
      </w:pPr>
      <w:r w:rsidRPr="007B25BE">
        <w:rPr>
          <w:bCs/>
        </w:rPr>
        <w:tab/>
        <w:t>v splošnem in posebnem delu proračuna za leto 2018 ni prikazala realizacije prejemkov in izdatkov za leto 2016 in ocene realizacije prejemkov in izdatkov za leto 2017; v splošnem delu zaključnega računa proračuna za leto 2018 ni prikazala predvidenih prihodkov in drugih prejemkov ter odhodkov in drugih izdatkov za preteklo leto; v splošnem in posebnem delu zaključnega računa proračuna za leto 2018 ni prikazala indeksa med realiziranim in sprejetim proračunom za leto 2018; poročilo o realizaciji proračuna v prvem polletju, obrazložitve proračuna za leto 2018, poročila o realizaciji finančnih načrtov neposrednih uporabnikov, poročilo o doseženih ciljih in rezultatih ter kadrovski načrt niso popolni; ni vzpostavila sistema spremljanja prevzetih obveznosti v breme proračunov prihodnjih let;</w:t>
      </w:r>
    </w:p>
    <w:p w14:paraId="5BDAD3EA" w14:textId="77777777" w:rsidR="007B25BE" w:rsidRPr="007B25BE" w:rsidRDefault="007B25BE" w:rsidP="007B25BE">
      <w:pPr>
        <w:widowControl w:val="0"/>
        <w:numPr>
          <w:ilvl w:val="0"/>
          <w:numId w:val="3"/>
        </w:numPr>
        <w:rPr>
          <w:bCs/>
          <w:lang w:eastAsia="sl-SI"/>
        </w:rPr>
      </w:pPr>
      <w:r w:rsidRPr="007B25BE">
        <w:rPr>
          <w:bCs/>
        </w:rPr>
        <w:t>župan je prepozno poročal občinskemu svetu o izvrševanju proračuna v prvem polletju 2018; župan ni določil obsega izdatkov za posamezno 3-mesečje ali drugo obdobje, v okviru katerega smejo neposredni uporabniki plačevati obveznosti</w:t>
      </w:r>
      <w:r w:rsidRPr="007B25BE">
        <w:rPr>
          <w:bCs/>
          <w:lang w:eastAsia="sl-SI"/>
        </w:rPr>
        <w:t>;</w:t>
      </w:r>
    </w:p>
    <w:p w14:paraId="750094D7" w14:textId="77777777" w:rsidR="007B25BE" w:rsidRPr="007B25BE" w:rsidRDefault="007B25BE" w:rsidP="007B25BE">
      <w:pPr>
        <w:widowControl w:val="0"/>
        <w:numPr>
          <w:ilvl w:val="0"/>
          <w:numId w:val="3"/>
        </w:numPr>
        <w:rPr>
          <w:bCs/>
          <w:lang w:eastAsia="sl-SI"/>
        </w:rPr>
      </w:pPr>
      <w:r w:rsidRPr="007B25BE">
        <w:rPr>
          <w:bCs/>
          <w:lang w:eastAsia="sl-SI"/>
        </w:rPr>
        <w:t xml:space="preserve">evidenca nepremičnega premoženja in </w:t>
      </w:r>
      <w:r w:rsidRPr="007B25BE">
        <w:rPr>
          <w:bCs/>
        </w:rPr>
        <w:t>načrt razpolaganja z nepremičnim premoženjem ne vsebujeta vseh podatkov</w:t>
      </w:r>
      <w:r w:rsidRPr="007B25BE">
        <w:rPr>
          <w:bCs/>
          <w:lang w:eastAsia="sl-SI"/>
        </w:rPr>
        <w:t>;</w:t>
      </w:r>
    </w:p>
    <w:p w14:paraId="325AFE55" w14:textId="77777777" w:rsidR="007B25BE" w:rsidRPr="007B25BE" w:rsidRDefault="007B25BE" w:rsidP="007B25BE">
      <w:pPr>
        <w:widowControl w:val="0"/>
        <w:numPr>
          <w:ilvl w:val="0"/>
          <w:numId w:val="3"/>
        </w:numPr>
        <w:rPr>
          <w:bCs/>
          <w:lang w:eastAsia="sl-SI"/>
        </w:rPr>
      </w:pPr>
      <w:r w:rsidRPr="007B25BE">
        <w:rPr>
          <w:bCs/>
          <w:lang w:eastAsia="sl-SI"/>
        </w:rPr>
        <w:t>v 6 primerih prodaje nepremičnega premoženja in v 8 primerih oddaje prostorov v najem ni imenovala skrbnika pravnega posla oziroma ga ni določila v pogodbi;</w:t>
      </w:r>
    </w:p>
    <w:p w14:paraId="67DBD107" w14:textId="77777777" w:rsidR="007B25BE" w:rsidRPr="007B25BE" w:rsidRDefault="007B25BE" w:rsidP="007B25BE">
      <w:pPr>
        <w:widowControl w:val="0"/>
        <w:numPr>
          <w:ilvl w:val="0"/>
          <w:numId w:val="3"/>
        </w:numPr>
        <w:rPr>
          <w:bCs/>
          <w:lang w:eastAsia="sl-SI"/>
        </w:rPr>
      </w:pPr>
      <w:r w:rsidRPr="007B25BE">
        <w:rPr>
          <w:bCs/>
          <w:lang w:eastAsia="sl-SI"/>
        </w:rPr>
        <w:t xml:space="preserve">kupcu je izročila zemljiškoknjižno dovolilo za vpis lastninske pravice v zemljiško knjigo pred prejemom celotne kupnine </w:t>
      </w:r>
      <w:r w:rsidRPr="007B25BE">
        <w:rPr>
          <w:bCs/>
        </w:rPr>
        <w:t>(v letu 2018 je prejela 448 EUR prihodkov od prodaje nepremičnin)</w:t>
      </w:r>
      <w:r w:rsidRPr="007B25BE">
        <w:rPr>
          <w:bCs/>
          <w:lang w:eastAsia="sl-SI"/>
        </w:rPr>
        <w:t>;</w:t>
      </w:r>
    </w:p>
    <w:p w14:paraId="76EEE4B0" w14:textId="77777777" w:rsidR="007B25BE" w:rsidRPr="007B25BE" w:rsidRDefault="007B25BE" w:rsidP="007B25BE">
      <w:pPr>
        <w:widowControl w:val="0"/>
        <w:numPr>
          <w:ilvl w:val="0"/>
          <w:numId w:val="3"/>
        </w:numPr>
        <w:rPr>
          <w:bCs/>
        </w:rPr>
      </w:pPr>
      <w:r w:rsidRPr="007B25BE">
        <w:rPr>
          <w:bCs/>
        </w:rPr>
        <w:t xml:space="preserve">v 3 primerih je oddala v najem poslovne prostore, za katere ni sprejela posamičnega programa ravnanja s stvarnim premoženjem; </w:t>
      </w:r>
      <w:r w:rsidRPr="007B25BE">
        <w:rPr>
          <w:bCs/>
          <w:szCs w:val="22"/>
        </w:rPr>
        <w:t xml:space="preserve">v 6 primerih pred sklenitvijo neposredne najemne pogodbe oziroma oddaje v brezplačno uporabo na enotnem spletnem portalu oziroma spletni strani ni objavila namere o oddaji stvarnega premoženja v najem oziroma brezplačno uporabo; 2 najemni pogodbi je sklenila za nedoločen čas; </w:t>
      </w:r>
      <w:r w:rsidRPr="007B25BE">
        <w:rPr>
          <w:bCs/>
        </w:rPr>
        <w:t>pogodbo o oddaji poslovnega prostora v brezplačno uporabo je sklenila za predolgo obdobje;</w:t>
      </w:r>
    </w:p>
    <w:p w14:paraId="45C82A66" w14:textId="77777777" w:rsidR="007B25BE" w:rsidRPr="007B25BE" w:rsidRDefault="007B25BE" w:rsidP="007B25BE">
      <w:pPr>
        <w:keepLines/>
        <w:widowControl w:val="0"/>
        <w:numPr>
          <w:ilvl w:val="0"/>
          <w:numId w:val="3"/>
        </w:numPr>
        <w:rPr>
          <w:bCs/>
        </w:rPr>
      </w:pPr>
      <w:r w:rsidRPr="007B25BE">
        <w:rPr>
          <w:bCs/>
        </w:rPr>
        <w:lastRenderedPageBreak/>
        <w:t>ni izvedla postopka oddaje javnega naročila za investicijsko vzdrževanje nepremičnega premoženja (investicijska vlaganja zakupnika so bila v letu 2018 poračunana z najemnino v znesku 2.376 EUR); v zakupni pogodbi ni določila obveznosti zakupnika, da krije stroške zavarovanj, in mu oprostila del plačila nadomestila za stavbno zemljišče; v zakupni pogodbi je določila fiksno mesečno zakupnino za daljše obdobje in s tem ni zagotovila možnosti, da bi zakupnino lahko prilagajala morebitnim spremembam višin zakupnin na trgu v času trajanja pogodbe, in tako pri ravnanju s stvarnim premoženjem ni spoštovala načela gospodarnosti;</w:t>
      </w:r>
    </w:p>
    <w:p w14:paraId="2B0F6BA4" w14:textId="77777777" w:rsidR="007B25BE" w:rsidRPr="007B25BE" w:rsidRDefault="007B25BE" w:rsidP="007B25BE">
      <w:pPr>
        <w:widowControl w:val="0"/>
        <w:numPr>
          <w:ilvl w:val="0"/>
          <w:numId w:val="3"/>
        </w:numPr>
        <w:rPr>
          <w:bCs/>
        </w:rPr>
      </w:pPr>
      <w:r w:rsidRPr="007B25BE">
        <w:rPr>
          <w:bCs/>
        </w:rPr>
        <w:t>v 2 zakupnih pogodbah je določila prednost zakupnika pri pridobitvi nepremičnine v ponovni zakup;</w:t>
      </w:r>
    </w:p>
    <w:p w14:paraId="09A12B3A" w14:textId="77777777" w:rsidR="007B25BE" w:rsidRPr="007B25BE" w:rsidRDefault="007B25BE" w:rsidP="007B25BE">
      <w:pPr>
        <w:widowControl w:val="0"/>
        <w:numPr>
          <w:ilvl w:val="0"/>
          <w:numId w:val="3"/>
        </w:numPr>
        <w:rPr>
          <w:bCs/>
        </w:rPr>
      </w:pPr>
      <w:r w:rsidRPr="007B25BE">
        <w:rPr>
          <w:bCs/>
        </w:rPr>
        <w:t>sklenila je neposredno pogodbo o dolgoročnem sodelovanju, ne da bi pred tem izvedla analizo o morebitni zainteresiranosti drugih subjektov za sklenitev takšne pogodbe in ne da bi imela za sklenitev tovrstne pogodbe podlago v javnofinančnih predpisih (v letu 2018 je prejela 2.000 EUR prihodkov od zakupnine); nepremično premoženje je oddala v zakup v neskladju s sklepom občinskega sveta;</w:t>
      </w:r>
    </w:p>
    <w:p w14:paraId="07040FD7" w14:textId="77777777" w:rsidR="007B25BE" w:rsidRPr="007B25BE" w:rsidRDefault="007B25BE" w:rsidP="007B25BE">
      <w:pPr>
        <w:widowControl w:val="0"/>
        <w:numPr>
          <w:ilvl w:val="0"/>
          <w:numId w:val="3"/>
        </w:numPr>
        <w:rPr>
          <w:bCs/>
        </w:rPr>
      </w:pPr>
      <w:r w:rsidRPr="007B25BE">
        <w:rPr>
          <w:bCs/>
        </w:rPr>
        <w:t>v 2 primerih ni opravila cenitve za določitev višine zakupnine za oddajo poslovnega prostora v zakup (v letu 2018 je od 2 zakupnikov prejela skupaj 4.400 EUR prihodkov od zakupnine);</w:t>
      </w:r>
    </w:p>
    <w:p w14:paraId="41E04E52" w14:textId="77777777" w:rsidR="007B25BE" w:rsidRPr="007B25BE" w:rsidRDefault="007B25BE" w:rsidP="007B25BE">
      <w:pPr>
        <w:widowControl w:val="0"/>
        <w:numPr>
          <w:ilvl w:val="0"/>
          <w:numId w:val="3"/>
        </w:numPr>
        <w:rPr>
          <w:bCs/>
        </w:rPr>
      </w:pPr>
      <w:r w:rsidRPr="007B25BE">
        <w:rPr>
          <w:bCs/>
        </w:rPr>
        <w:t>zakupniku je podaljšala zakupno razmerje za 10 let, ne da bi na novo določila višino zakupnine; od zakupnika ni pridobila programa dela in aktivnosti kompleksa ter letnega poročila o izpolnjevanju plana;</w:t>
      </w:r>
    </w:p>
    <w:p w14:paraId="552987DD" w14:textId="77777777" w:rsidR="007B25BE" w:rsidRPr="007B25BE" w:rsidRDefault="007B25BE" w:rsidP="007B25BE">
      <w:pPr>
        <w:widowControl w:val="0"/>
        <w:numPr>
          <w:ilvl w:val="0"/>
          <w:numId w:val="3"/>
        </w:numPr>
        <w:rPr>
          <w:bCs/>
        </w:rPr>
      </w:pPr>
      <w:r w:rsidRPr="007B25BE">
        <w:rPr>
          <w:bCs/>
        </w:rPr>
        <w:t xml:space="preserve">v pogodbi je določila nižje finančno zavarovanje za odpravo napak v garancijskem roku, kot je bilo določeno v osnutku pogodbe iz razpisne dokumentacije; prepozno je poslala v objavo obvestilo o oddaji javnega naročila; pri 5 javnih naročilih na portal javnih naročil ni poslala v objavo obvestila o spremembi pogodbe o izvedbi javnega naročila v času njegove veljavnosti; </w:t>
      </w:r>
      <w:r w:rsidRPr="007B25BE">
        <w:rPr>
          <w:bCs/>
          <w:lang w:eastAsia="sl-SI"/>
        </w:rPr>
        <w:t xml:space="preserve">ponudbe, ki je presegala zagotovljena sredstva v proračunu občine, ni izločila kot nedopustne (v letu 2018 je izvajalcu plačala 187.089 EUR); </w:t>
      </w:r>
      <w:r w:rsidRPr="007B25BE">
        <w:rPr>
          <w:bCs/>
        </w:rPr>
        <w:t xml:space="preserve">v 2 postopkih oddaje javnih naročil je </w:t>
      </w:r>
      <w:r w:rsidRPr="007B25BE">
        <w:rPr>
          <w:bCs/>
          <w:lang w:eastAsia="sl-SI"/>
        </w:rPr>
        <w:t>v izvedbo del vključila novega podizvajalca, kljub temu da ji izvajalec ni predložil vseh zahtevanih podatkov in dokumentov; z dodatkom k pogodbi je v izvedbo del vključila novega podizvajalca, ni pa določila, da se plačila izvedejo neposredno podizvajalcu; podizvajalcu je plačala 3.183 EUR, kljub temu da ji glavni izvajalec k svoji situaciji ni priložil računa ali situacije podizvajalca</w:t>
      </w:r>
      <w:r w:rsidRPr="007B25BE">
        <w:rPr>
          <w:bCs/>
        </w:rPr>
        <w:t xml:space="preserve">; </w:t>
      </w:r>
      <w:r w:rsidRPr="007B25BE">
        <w:rPr>
          <w:bCs/>
          <w:lang w:eastAsia="sl-SI"/>
        </w:rPr>
        <w:t xml:space="preserve">s sklenitvijo pogodbe je prevzela za 80.331 EUR več obveznosti, kot je imela za ta namen načrtovanih sredstev v načrtu razvojnih programov ob prevzemu obveznosti; </w:t>
      </w:r>
      <w:r w:rsidRPr="007B25BE">
        <w:rPr>
          <w:bCs/>
        </w:rPr>
        <w:t>od izvajalca je pridobila bančno garancijo za odpravo napak v garancijskem roku prepozno in v prenizki vrednosti, v 1 primeru pa od izvajalca ni pridobila garancije za dobro izvedbo pogodbenih obveznosti zaradi podaljšanja roka izvedbe; v 3 primerih pred uvrstitvijo projekta v načrt razvojnih programov ni razpolagala z dokumentom identifikacije investicijskega projekta, v 1 primeru pa ga je pripravila prepozno; pred sklenitvijo pogodbe ni pridobila izjave oziroma podatkov o udeležbi fizičnih in pravnih oseb v lastništvu ponudnika;</w:t>
      </w:r>
    </w:p>
    <w:p w14:paraId="354E0E97" w14:textId="77777777" w:rsidR="007B25BE" w:rsidRPr="007B25BE" w:rsidRDefault="007B25BE" w:rsidP="007B25BE">
      <w:pPr>
        <w:widowControl w:val="0"/>
        <w:numPr>
          <w:ilvl w:val="0"/>
          <w:numId w:val="3"/>
        </w:numPr>
        <w:rPr>
          <w:bCs/>
        </w:rPr>
      </w:pPr>
      <w:r w:rsidRPr="007B25BE">
        <w:rPr>
          <w:bCs/>
        </w:rPr>
        <w:t xml:space="preserve">v javnem razpisu na področju športa ni določila ustreznih meril in načina njihove uporabe (v letu 2018 je bilo izplačano 64.361 EUR); </w:t>
      </w:r>
      <w:r w:rsidRPr="007B25BE">
        <w:rPr>
          <w:bCs/>
          <w:lang w:eastAsia="sl-SI"/>
        </w:rPr>
        <w:t xml:space="preserve">v komisijo je imenovala 3 člane, ki so bili interesno povezani s prejemniki sredstev; komisija v zapisniku </w:t>
      </w:r>
      <w:r w:rsidRPr="007B25BE">
        <w:rPr>
          <w:bCs/>
        </w:rPr>
        <w:t>ni navedla razlogov za razvrstitev vlog;</w:t>
      </w:r>
    </w:p>
    <w:p w14:paraId="0E928083" w14:textId="77777777" w:rsidR="007B25BE" w:rsidRPr="007B25BE" w:rsidRDefault="007B25BE" w:rsidP="007B25BE">
      <w:pPr>
        <w:widowControl w:val="0"/>
        <w:numPr>
          <w:ilvl w:val="0"/>
          <w:numId w:val="3"/>
        </w:numPr>
        <w:rPr>
          <w:bCs/>
        </w:rPr>
      </w:pPr>
      <w:r w:rsidRPr="007B25BE">
        <w:rPr>
          <w:bCs/>
        </w:rPr>
        <w:t>v javnem razpisu na področju kulture ni določila načina uporabe meril (v letu 2018 je bilo izplačano 40.000 EUR); komisija za odpiranje vlog ni pripravila skupnega poročila in poročila o razvrstitvi vlog;</w:t>
      </w:r>
    </w:p>
    <w:p w14:paraId="2558EA46" w14:textId="77777777" w:rsidR="007B25BE" w:rsidRPr="007B25BE" w:rsidRDefault="007B25BE" w:rsidP="007B25BE">
      <w:pPr>
        <w:widowControl w:val="0"/>
        <w:numPr>
          <w:ilvl w:val="0"/>
          <w:numId w:val="3"/>
        </w:numPr>
        <w:rPr>
          <w:bCs/>
        </w:rPr>
      </w:pPr>
      <w:r w:rsidRPr="007B25BE">
        <w:rPr>
          <w:bCs/>
        </w:rPr>
        <w:t>na svetovnem spletu je prepozno objavila podatke o prejemnikih in višini prejetih sredstev na področju športa in kulture, dokumentacije o zaključnem poročilu ali povzetka o poteku in rezultatih porabljenih sredstev po javnih razpisih na področju športa in kulture pa ni objavila;</w:t>
      </w:r>
    </w:p>
    <w:p w14:paraId="5F203A3F" w14:textId="77777777" w:rsidR="007B25BE" w:rsidRPr="007B25BE" w:rsidRDefault="007B25BE" w:rsidP="007B25BE">
      <w:pPr>
        <w:widowControl w:val="0"/>
        <w:numPr>
          <w:ilvl w:val="0"/>
          <w:numId w:val="3"/>
        </w:numPr>
        <w:rPr>
          <w:bCs/>
        </w:rPr>
      </w:pPr>
      <w:r w:rsidRPr="007B25BE">
        <w:rPr>
          <w:bCs/>
          <w:lang w:eastAsia="sl-SI"/>
        </w:rPr>
        <w:t>ni v celoti izvajala nadzora nad zadolževanjem pravnih oseb javnega sektorja na ravni občine</w:t>
      </w:r>
      <w:r w:rsidRPr="007B25BE">
        <w:rPr>
          <w:bCs/>
        </w:rPr>
        <w:t>; od nobene pravne osebe javnega sektorja na ravni občine do 15. 1. 2019 ni pridobila podatkov o stanju njene zadolženosti na dan 31. 12. 2018;</w:t>
      </w:r>
    </w:p>
    <w:p w14:paraId="72677347" w14:textId="77777777" w:rsidR="007B25BE" w:rsidRPr="007B25BE" w:rsidRDefault="007B25BE" w:rsidP="007B25BE">
      <w:pPr>
        <w:keepLines/>
        <w:widowControl w:val="0"/>
        <w:numPr>
          <w:ilvl w:val="0"/>
          <w:numId w:val="3"/>
        </w:numPr>
        <w:rPr>
          <w:bCs/>
        </w:rPr>
      </w:pPr>
      <w:r w:rsidRPr="007B25BE">
        <w:rPr>
          <w:bCs/>
          <w:lang w:eastAsia="sl-SI"/>
        </w:rPr>
        <w:lastRenderedPageBreak/>
        <w:t>k</w:t>
      </w:r>
      <w:r w:rsidRPr="007B25BE">
        <w:rPr>
          <w:bCs/>
        </w:rPr>
        <w:t xml:space="preserve">oncesijska pogodba v bistvenih delih odstopa od osnutka pogodbe v razpisni dokumentaciji (v letu 2018 je občina koncesionarju na podlagi koncesijske pogodbe plačala 51.185 EUR); ni izvajala ustreznega nadzora nad izvajanjem koncesijske pogodbe; ni </w:t>
      </w:r>
      <w:r w:rsidRPr="007B25BE">
        <w:rPr>
          <w:bCs/>
          <w:szCs w:val="22"/>
        </w:rPr>
        <w:t>razpolagala z ustrezno dokumentacijo, ki je bila podlaga za izplačilo sredstev v znesku 63.097 EUR oziroma na podlagi katere bi lahko preverila pravilnost obračuna</w:t>
      </w:r>
      <w:r w:rsidRPr="007B25BE">
        <w:rPr>
          <w:bCs/>
        </w:rPr>
        <w:t>;</w:t>
      </w:r>
    </w:p>
    <w:p w14:paraId="05BE5652" w14:textId="77777777" w:rsidR="007B25BE" w:rsidRPr="007B25BE" w:rsidRDefault="007B25BE" w:rsidP="007B25BE">
      <w:pPr>
        <w:widowControl w:val="0"/>
        <w:numPr>
          <w:ilvl w:val="0"/>
          <w:numId w:val="3"/>
        </w:numPr>
        <w:rPr>
          <w:bCs/>
        </w:rPr>
      </w:pPr>
      <w:r w:rsidRPr="007B25BE">
        <w:rPr>
          <w:bCs/>
        </w:rPr>
        <w:t>ni izvajala ustreznega nadzora nad poslovanjem osnovne šole</w:t>
      </w:r>
      <w:r w:rsidRPr="007B25BE">
        <w:rPr>
          <w:bCs/>
          <w:lang w:eastAsia="sl-SI"/>
        </w:rPr>
        <w:t xml:space="preserve">; </w:t>
      </w:r>
      <w:r w:rsidRPr="007B25BE">
        <w:rPr>
          <w:bCs/>
        </w:rPr>
        <w:t>pred izplačilom zahtevkov v skupnem znesku 187.090 EUR ni pridobila dokazil o plačilih.</w:t>
      </w:r>
    </w:p>
    <w:p w14:paraId="72022E13" w14:textId="77777777" w:rsidR="007B25BE" w:rsidRPr="007B25BE" w:rsidRDefault="007B25BE" w:rsidP="007B25BE">
      <w:pPr>
        <w:widowControl w:val="0"/>
        <w:spacing w:before="0" w:after="0" w:line="240" w:lineRule="auto"/>
        <w:rPr>
          <w:bCs/>
        </w:rPr>
      </w:pPr>
    </w:p>
    <w:p w14:paraId="58AE8823" w14:textId="77777777" w:rsidR="007B25BE" w:rsidRPr="007B25BE" w:rsidRDefault="007B25BE" w:rsidP="007B25BE">
      <w:pPr>
        <w:widowControl w:val="0"/>
        <w:rPr>
          <w:bCs/>
        </w:rPr>
      </w:pPr>
      <w:r w:rsidRPr="007B25BE">
        <w:rPr>
          <w:bCs/>
        </w:rPr>
        <w:t xml:space="preserve">Računsko sodišče je Občini Vipava podalo </w:t>
      </w:r>
      <w:r w:rsidRPr="007B25BE">
        <w:rPr>
          <w:bCs/>
          <w:i/>
        </w:rPr>
        <w:t>priporočila</w:t>
      </w:r>
      <w:r w:rsidRPr="007B25BE">
        <w:rPr>
          <w:bCs/>
        </w:rPr>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7D90E271" w14:textId="77777777" w:rsidR="00897CF4" w:rsidRDefault="00897CF4" w:rsidP="00897CF4">
      <w:pPr>
        <w:pStyle w:val="RStekst"/>
      </w:pPr>
    </w:p>
    <w:p w14:paraId="778F2A6C" w14:textId="4A5B594F" w:rsidR="00F4569E" w:rsidRDefault="00F4569E" w:rsidP="00F4569E">
      <w:pPr>
        <w:pStyle w:val="RStekst"/>
      </w:pPr>
      <w:bookmarkStart w:id="0" w:name="_GoBack"/>
      <w:bookmarkEnd w:id="0"/>
    </w:p>
    <w:p w14:paraId="2D7E1114" w14:textId="356DB9D7" w:rsidR="00F4569E" w:rsidRDefault="00F4569E" w:rsidP="00F4569E">
      <w:pPr>
        <w:pStyle w:val="RStekst"/>
      </w:pPr>
      <w:r>
        <w:t xml:space="preserve">Ljubljana, </w:t>
      </w:r>
      <w:r w:rsidR="00B90B1F">
        <w:t>14. decembra 2020</w:t>
      </w:r>
    </w:p>
    <w:sectPr w:rsidR="00F4569E">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7D73" w14:textId="77777777" w:rsidR="0037461A" w:rsidRDefault="0037461A">
      <w:r>
        <w:separator/>
      </w:r>
    </w:p>
  </w:endnote>
  <w:endnote w:type="continuationSeparator" w:id="0">
    <w:p w14:paraId="51EBACA5" w14:textId="77777777" w:rsidR="0037461A" w:rsidRDefault="0037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4E1C" w14:textId="77777777" w:rsidR="001F6406" w:rsidRDefault="001F64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48CE" w14:textId="3035F7DB" w:rsidR="002C5DCD" w:rsidRDefault="002C5DCD">
    <w:pPr>
      <w:jc w:val="center"/>
    </w:pPr>
    <w:r>
      <w:fldChar w:fldCharType="begin"/>
    </w:r>
    <w:r>
      <w:instrText xml:space="preserve"> PAGE </w:instrText>
    </w:r>
    <w:r>
      <w:fldChar w:fldCharType="separate"/>
    </w:r>
    <w:r w:rsidR="00D6356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283B" w14:textId="77777777" w:rsidR="002C5DCD" w:rsidRDefault="008965C3">
    <w:r>
      <w:rPr>
        <w:noProof/>
        <w:lang w:eastAsia="sl-SI"/>
      </w:rPr>
      <w:drawing>
        <wp:anchor distT="0" distB="0" distL="114300" distR="114300" simplePos="0" relativeHeight="251663360" behindDoc="0" locked="1" layoutInCell="1" allowOverlap="1" wp14:anchorId="05F5DADE" wp14:editId="43DA190A">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1E868" w14:textId="77777777" w:rsidR="0037461A" w:rsidRDefault="0037461A">
      <w:r>
        <w:separator/>
      </w:r>
    </w:p>
  </w:footnote>
  <w:footnote w:type="continuationSeparator" w:id="0">
    <w:p w14:paraId="3ADE3B47" w14:textId="77777777" w:rsidR="0037461A" w:rsidRDefault="0037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4948" w14:textId="77777777" w:rsidR="001F6406" w:rsidRDefault="001F640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70784" w14:textId="77777777" w:rsidR="001F6406" w:rsidRDefault="001F640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322D" w14:textId="77777777" w:rsidR="002C5DCD" w:rsidRDefault="00742630">
    <w:r>
      <w:rPr>
        <w:noProof/>
        <w:lang w:eastAsia="sl-SI"/>
      </w:rPr>
      <w:drawing>
        <wp:anchor distT="0" distB="0" distL="114300" distR="114300" simplePos="0" relativeHeight="251661312" behindDoc="0" locked="1" layoutInCell="1" allowOverlap="1" wp14:anchorId="15F1C1DE" wp14:editId="76A729A7">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74"/>
    <w:rsid w:val="001D315D"/>
    <w:rsid w:val="001E3435"/>
    <w:rsid w:val="001E7547"/>
    <w:rsid w:val="001F6406"/>
    <w:rsid w:val="0021095D"/>
    <w:rsid w:val="002C5DCD"/>
    <w:rsid w:val="002D37F3"/>
    <w:rsid w:val="002F2498"/>
    <w:rsid w:val="003535E4"/>
    <w:rsid w:val="0037461A"/>
    <w:rsid w:val="00375B3F"/>
    <w:rsid w:val="004815FD"/>
    <w:rsid w:val="004D1084"/>
    <w:rsid w:val="00590644"/>
    <w:rsid w:val="005C34F4"/>
    <w:rsid w:val="005E69E0"/>
    <w:rsid w:val="005F6ED6"/>
    <w:rsid w:val="00604D49"/>
    <w:rsid w:val="00647D7F"/>
    <w:rsid w:val="006A2AFA"/>
    <w:rsid w:val="006A47AD"/>
    <w:rsid w:val="006F3EF9"/>
    <w:rsid w:val="00722374"/>
    <w:rsid w:val="00742630"/>
    <w:rsid w:val="007B25BE"/>
    <w:rsid w:val="007F13DF"/>
    <w:rsid w:val="008022EF"/>
    <w:rsid w:val="00804769"/>
    <w:rsid w:val="00824513"/>
    <w:rsid w:val="00862F48"/>
    <w:rsid w:val="008965C3"/>
    <w:rsid w:val="00897CF4"/>
    <w:rsid w:val="008A4178"/>
    <w:rsid w:val="00912111"/>
    <w:rsid w:val="009176A9"/>
    <w:rsid w:val="009A7362"/>
    <w:rsid w:val="00A27474"/>
    <w:rsid w:val="00A67F98"/>
    <w:rsid w:val="00AA218A"/>
    <w:rsid w:val="00AB03E9"/>
    <w:rsid w:val="00AC54E0"/>
    <w:rsid w:val="00B008F8"/>
    <w:rsid w:val="00B13CFF"/>
    <w:rsid w:val="00B90B1F"/>
    <w:rsid w:val="00B92131"/>
    <w:rsid w:val="00BA74F7"/>
    <w:rsid w:val="00C07C0D"/>
    <w:rsid w:val="00C31D5B"/>
    <w:rsid w:val="00C57CE6"/>
    <w:rsid w:val="00C74005"/>
    <w:rsid w:val="00CF7C19"/>
    <w:rsid w:val="00D2498A"/>
    <w:rsid w:val="00D47861"/>
    <w:rsid w:val="00D6356D"/>
    <w:rsid w:val="00D7347F"/>
    <w:rsid w:val="00DA44DA"/>
    <w:rsid w:val="00E00CC1"/>
    <w:rsid w:val="00EF3E6E"/>
    <w:rsid w:val="00F248CB"/>
    <w:rsid w:val="00F4569E"/>
    <w:rsid w:val="00F45826"/>
    <w:rsid w:val="00F558BC"/>
    <w:rsid w:val="00F569A8"/>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62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rsid w:val="00F4582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457AB6-DE1E-4655-A0E0-44BF46F00067}">
  <ds:schemaRefs>
    <ds:schemaRef ds:uri="http://schemas.microsoft.com/sharepoint/v3/contenttype/forms"/>
  </ds:schemaRefs>
</ds:datastoreItem>
</file>

<file path=customXml/itemProps2.xml><?xml version="1.0" encoding="utf-8"?>
<ds:datastoreItem xmlns:ds="http://schemas.openxmlformats.org/officeDocument/2006/customXml" ds:itemID="{BF37315C-A986-47A0-8A85-BA5A6742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1C0897-83D0-47C7-B527-CAA0DA7C314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7040</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2020-12-11T12:38:00Z</dcterms:created>
  <dcterms:modified xsi:type="dcterms:W3CDTF">2020-12-14T07:14:00Z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