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E62EF" w14:textId="4489BB10" w:rsidR="002046DB" w:rsidRPr="002046DB" w:rsidRDefault="0088111B" w:rsidP="002046DB">
      <w:pPr>
        <w:pStyle w:val="RStekst"/>
        <w:rPr>
          <w:b/>
          <w:i/>
        </w:rPr>
      </w:pPr>
      <w:r w:rsidRPr="0088111B">
        <w:rPr>
          <w:b/>
        </w:rPr>
        <w:t xml:space="preserve">Povzetek revizijskega poročila </w:t>
      </w:r>
      <w:r w:rsidR="00C76185" w:rsidRPr="00C76185">
        <w:rPr>
          <w:b/>
          <w:i/>
        </w:rPr>
        <w:t>Opravljanje nujnih procesnih dejanj v pravosodnih organih</w:t>
      </w:r>
    </w:p>
    <w:p w14:paraId="0D860A0C" w14:textId="77777777" w:rsidR="00254E8D" w:rsidRPr="00254E8D" w:rsidRDefault="00254E8D" w:rsidP="00254E8D">
      <w:pPr>
        <w:pStyle w:val="RStekst"/>
      </w:pPr>
    </w:p>
    <w:p w14:paraId="6A3C1971" w14:textId="77777777" w:rsidR="00254E8D" w:rsidRDefault="00254E8D" w:rsidP="00254E8D">
      <w:pPr>
        <w:pStyle w:val="RStekst"/>
      </w:pPr>
    </w:p>
    <w:p w14:paraId="759E00F5" w14:textId="77777777" w:rsidR="00C76185" w:rsidRPr="006515C2" w:rsidRDefault="00C76185" w:rsidP="00C76185">
      <w:pPr>
        <w:pStyle w:val="RStekst"/>
      </w:pPr>
      <w:r w:rsidRPr="006515C2">
        <w:t xml:space="preserve">Računsko sodišče je izvedlo revizijo </w:t>
      </w:r>
      <w:r w:rsidRPr="00C66F42">
        <w:rPr>
          <w:i/>
        </w:rPr>
        <w:t>učinkovitosti sistema opravljanja nujnih procesnih dejanj v pravosodnih organih v obdobju od 1. 1. 2014 do 31. 5. 2016</w:t>
      </w:r>
      <w:r w:rsidRPr="006515C2">
        <w:t>. Sistem opravljanja nujnih procesnih dejanj je proučevalo na Ministrstvu za pravosodje, Vrhovnem državnem tožilstvu Republike Slovenije, Vrhovnem sodišču Republike Slovenije, Okrožnem sodišču v Celju, Okrožnem državnem tožilstvu v Celju in Specializiranem državnem tožilstvu Republike Slovenije.</w:t>
      </w:r>
    </w:p>
    <w:p w14:paraId="4997B1BC" w14:textId="77777777" w:rsidR="00C76185" w:rsidRPr="006515C2" w:rsidRDefault="00C76185" w:rsidP="00C76185">
      <w:pPr>
        <w:pStyle w:val="RStekst"/>
        <w:spacing w:before="0" w:after="0" w:line="240" w:lineRule="auto"/>
      </w:pPr>
    </w:p>
    <w:p w14:paraId="5B8A675D" w14:textId="77777777" w:rsidR="00C76185" w:rsidRPr="006515C2" w:rsidRDefault="00C76185" w:rsidP="00C76185">
      <w:pPr>
        <w:pStyle w:val="RStekst"/>
      </w:pPr>
      <w:r w:rsidRPr="006515C2">
        <w:t xml:space="preserve">Sistem opravljanja nujnih procesnih dejanj je računsko sodišče ocenilo kot </w:t>
      </w:r>
      <w:r w:rsidRPr="00C66F42">
        <w:rPr>
          <w:i/>
        </w:rPr>
        <w:t>delno učinkovit</w:t>
      </w:r>
      <w:r w:rsidRPr="006515C2">
        <w:t xml:space="preserve">, saj ni bil v celoti vzpostavljen normativni okvir za učinkovito opravljanje nujnih procesnih dejanj, načrtovanje, izvajanje ter nadzor sistema opravljanja nujnih procesnih dejanj pa so bili delno učinkoviti. </w:t>
      </w:r>
    </w:p>
    <w:p w14:paraId="67AC5477" w14:textId="77777777" w:rsidR="00C76185" w:rsidRPr="006515C2" w:rsidRDefault="00C76185" w:rsidP="00C76185">
      <w:pPr>
        <w:pStyle w:val="RStekst"/>
        <w:spacing w:before="0" w:after="0" w:line="240" w:lineRule="auto"/>
      </w:pPr>
    </w:p>
    <w:p w14:paraId="593158D5" w14:textId="77777777" w:rsidR="00C76185" w:rsidRPr="006515C2" w:rsidRDefault="00C76185" w:rsidP="00C76185">
      <w:pPr>
        <w:pStyle w:val="RStekst"/>
      </w:pPr>
      <w:r w:rsidRPr="006515C2">
        <w:t xml:space="preserve">Zakoni ne določajo posebnih pravic in dolžnosti sodnega oziroma državnega tožilskega osebja, da opravlja svoje delo tudi v dežurstvu in pripravljenosti, ko sodeluje pri izvajanju nujnih procesnih dejanj izven poslovnega časa. Ker gre v primerih sodelovanja javnih uslužbencev pri izvajanja nujnih procesnih dejanj za obveznosti in pravice javnih uslužbencev, bi jih bilo treba vsaj na splošno urediti na zakonski ravni. Sodišča in tožilstva ob upoštevanju mnenja Ministrstva za pravosodje pri obračunih in izplačilih plač niso upoštevala določil Zakona o sistemu plač v javnem sektorju. </w:t>
      </w:r>
    </w:p>
    <w:p w14:paraId="5529CA08" w14:textId="77777777" w:rsidR="00C76185" w:rsidRPr="006515C2" w:rsidRDefault="00C76185" w:rsidP="00C76185">
      <w:pPr>
        <w:pStyle w:val="RStekst"/>
        <w:spacing w:before="0" w:after="0" w:line="240" w:lineRule="auto"/>
      </w:pPr>
    </w:p>
    <w:p w14:paraId="3F3868E7" w14:textId="77777777" w:rsidR="00C76185" w:rsidRPr="006515C2" w:rsidRDefault="00C76185" w:rsidP="00C76185">
      <w:pPr>
        <w:pStyle w:val="RStekst"/>
      </w:pPr>
      <w:r w:rsidRPr="006515C2">
        <w:t xml:space="preserve">Na sodiščih in državnih tožilstvih je bil način upoštevanja, evidentiranja in obračunavanja porabljenega časa za prejete pozive izven poslovnega časa sodišč in tožilstev v obdobju, na katero se nanaša revizija, urejen različno. Po oceni računskega sodišča je bila ustrezna ureditev, ko so se aktivnosti v zvezi s pozivi evidentirale po dejansko porabljenem času. </w:t>
      </w:r>
    </w:p>
    <w:p w14:paraId="721D3125" w14:textId="77777777" w:rsidR="00C76185" w:rsidRPr="006515C2" w:rsidRDefault="00C76185" w:rsidP="00C76185">
      <w:pPr>
        <w:pStyle w:val="RStekst"/>
        <w:spacing w:before="0" w:after="0" w:line="240" w:lineRule="auto"/>
      </w:pPr>
    </w:p>
    <w:p w14:paraId="64F3405D" w14:textId="77777777" w:rsidR="00C76185" w:rsidRPr="006515C2" w:rsidRDefault="00C76185" w:rsidP="00C76185">
      <w:pPr>
        <w:pStyle w:val="RStekst"/>
      </w:pPr>
      <w:r w:rsidRPr="006515C2">
        <w:rPr>
          <w:lang w:eastAsia="sl-SI"/>
        </w:rPr>
        <w:t>Ministrstvo je izdalo navodila, ki so prispevala k učinkovitemu opravljanju nujnih procesnih dejanj, vendar pa v posameznih primerih niso bila celovita.</w:t>
      </w:r>
      <w:r w:rsidRPr="006515C2">
        <w:t xml:space="preserve"> Vrhovno sodišče Republike Slovenije je sprejelo smernice delovne skupine za delo preiskovalnih sodnikov, kar računsko sodišče ocenjuje kot primer dobre prakse in prispevek k poenotenju različnih praks sodišč. </w:t>
      </w:r>
    </w:p>
    <w:p w14:paraId="62F92D97" w14:textId="77777777" w:rsidR="00C76185" w:rsidRPr="006515C2" w:rsidRDefault="00C76185" w:rsidP="00C76185">
      <w:pPr>
        <w:pStyle w:val="RStekst"/>
        <w:spacing w:before="0" w:after="0" w:line="240" w:lineRule="auto"/>
      </w:pPr>
    </w:p>
    <w:p w14:paraId="0C56D2B9" w14:textId="77777777" w:rsidR="00C76185" w:rsidRPr="006515C2" w:rsidRDefault="00C76185" w:rsidP="00C76185">
      <w:pPr>
        <w:pStyle w:val="RStekst"/>
      </w:pPr>
      <w:r w:rsidRPr="006515C2">
        <w:t xml:space="preserve">Okrožno državno tožilstvo v Celju, Specializirano državno tožilstvo Republike Slovenije in Okrožno sodišče v Celju so v obdobju, na katero se nanaša revizija, imeli v internih aktih določen način izvajanja nujnih procesnih dejanj, zagotovljeno so imeli tudi zadostno število kadrov za nemoteno izvajanje nujnih procesnih dejanj. Vzpostavljene so imeli kontrole za zagotavljanje pravilnosti obračunavanja in poročanja o izvajanju nujnih procesnih dejanj, ki pa v nekaterih primerih niso zagotovile enotnega in pravilnega evidentiranja opravljenega dela v času pripravljenosti in dežurstva. </w:t>
      </w:r>
    </w:p>
    <w:p w14:paraId="79DEC704" w14:textId="77777777" w:rsidR="00C76185" w:rsidRPr="006515C2" w:rsidRDefault="00C76185" w:rsidP="00C76185">
      <w:pPr>
        <w:pStyle w:val="RStekst"/>
        <w:spacing w:before="0" w:after="0" w:line="240" w:lineRule="auto"/>
      </w:pPr>
    </w:p>
    <w:p w14:paraId="7285CD0D" w14:textId="77777777" w:rsidR="00C76185" w:rsidRDefault="00C76185" w:rsidP="00C76185">
      <w:pPr>
        <w:pStyle w:val="RStekst"/>
      </w:pPr>
      <w:r w:rsidRPr="006515C2">
        <w:t>Vrhovno sodišče Republike Slovenije je v obdobju, na katero se nanaša revizija, izvajalo nadzore, ki se nanašajo na vsebinske odločitve sodnikov, Vrhovno tožilstvo Republike Slovenije pa je izvajalo strokovne preglede na Okrožnem državnem tožilstvu v Celju in na Specializiranem državnem tožilstvu Republike Slovenije.</w:t>
      </w:r>
    </w:p>
    <w:p w14:paraId="64122350" w14:textId="77777777" w:rsidR="00C76185" w:rsidRPr="006515C2" w:rsidRDefault="00C76185" w:rsidP="00C76185">
      <w:pPr>
        <w:pStyle w:val="RStekst"/>
      </w:pPr>
    </w:p>
    <w:p w14:paraId="12185B72" w14:textId="77777777" w:rsidR="00C76185" w:rsidRPr="006515C2" w:rsidRDefault="00C76185" w:rsidP="00C76185">
      <w:pPr>
        <w:pStyle w:val="RStekst"/>
      </w:pPr>
      <w:r w:rsidRPr="006515C2">
        <w:t>Ministrstvo za pravosodje v obdobju, na katero se nanaša revizija, ni vzpostavilo službe za nadzor in ni opravilo pravosodnega nadzora nad tožilstvi. Je pa načrtovalo izboljšave za reorganizacijo in racionalizacijo mreže sodišč, toda aktivnosti na področju povečevanja učinkovitosti izvajanja nujnih procesnih dejanj še niso bile izvedene. Prav tako bi se lahko izboljšala učinkovitost na področju nujnih procesnih dejanj z ustrezno nadgradnjo informacijskega sistema sodišč in državnih tožilstev.</w:t>
      </w:r>
    </w:p>
    <w:p w14:paraId="750222E1" w14:textId="77777777" w:rsidR="00C76185" w:rsidRDefault="00C76185" w:rsidP="00C76185">
      <w:pPr>
        <w:pStyle w:val="RStekst"/>
        <w:rPr>
          <w:rFonts w:cs="Garamond"/>
          <w:color w:val="000000"/>
          <w:szCs w:val="22"/>
          <w:lang w:eastAsia="sl-SI"/>
        </w:rPr>
      </w:pPr>
      <w:r>
        <w:lastRenderedPageBreak/>
        <w:t xml:space="preserve">Vrhovno sodišče Republike Slovenije, Vrhovno državno tožilstvo Republike Slovenije, </w:t>
      </w:r>
      <w:r w:rsidRPr="006515C2">
        <w:t>Okrožno državno tožilstvo v Celju, Specializirano državno tožilstvo Republike Slovenije in Okrožno sodišče v Celju</w:t>
      </w:r>
      <w:r>
        <w:t xml:space="preserve"> so, </w:t>
      </w:r>
      <w:r w:rsidRPr="00C66F42">
        <w:rPr>
          <w:rFonts w:cs="Garamond"/>
          <w:color w:val="000000"/>
          <w:szCs w:val="22"/>
          <w:lang w:eastAsia="sl-SI"/>
        </w:rPr>
        <w:t>kjer je bilo mogoče, sprejel</w:t>
      </w:r>
      <w:r>
        <w:rPr>
          <w:rFonts w:cs="Garamond"/>
          <w:color w:val="000000"/>
          <w:szCs w:val="22"/>
          <w:lang w:eastAsia="sl-SI"/>
        </w:rPr>
        <w:t>i</w:t>
      </w:r>
      <w:r w:rsidRPr="002E0716">
        <w:rPr>
          <w:rFonts w:cs="Garamond"/>
          <w:color w:val="000000"/>
          <w:szCs w:val="22"/>
          <w:lang w:eastAsia="sl-SI"/>
        </w:rPr>
        <w:t xml:space="preserve"> ustrezne popravljalne ukrepe za odpravo razkritih </w:t>
      </w:r>
      <w:r>
        <w:rPr>
          <w:rFonts w:cs="Garamond"/>
          <w:color w:val="000000"/>
          <w:szCs w:val="22"/>
          <w:lang w:eastAsia="sl-SI"/>
        </w:rPr>
        <w:t>nesmotrnosti</w:t>
      </w:r>
      <w:r w:rsidRPr="002E0716">
        <w:rPr>
          <w:rFonts w:cs="Garamond"/>
          <w:color w:val="000000"/>
          <w:szCs w:val="22"/>
          <w:lang w:eastAsia="sl-SI"/>
        </w:rPr>
        <w:t xml:space="preserve"> oziroma ukrepe, ki bodo zmanjšali možnost nastajanja istovrstnih </w:t>
      </w:r>
      <w:r>
        <w:rPr>
          <w:rFonts w:cs="Garamond"/>
          <w:color w:val="000000"/>
          <w:szCs w:val="22"/>
          <w:lang w:eastAsia="sl-SI"/>
        </w:rPr>
        <w:t>nesmotrnosti</w:t>
      </w:r>
      <w:r w:rsidRPr="002E0716">
        <w:rPr>
          <w:rFonts w:cs="Garamond"/>
          <w:color w:val="000000"/>
          <w:szCs w:val="22"/>
          <w:lang w:eastAsia="sl-SI"/>
        </w:rPr>
        <w:t xml:space="preserve"> v prihodnje</w:t>
      </w:r>
      <w:r>
        <w:rPr>
          <w:rFonts w:cs="Garamond"/>
          <w:color w:val="000000"/>
          <w:szCs w:val="22"/>
          <w:lang w:eastAsia="sl-SI"/>
        </w:rPr>
        <w:t xml:space="preserve">, zato računsko sodišče od njih ni zahtevalo odzivnega poročila, je pa zahtevalo </w:t>
      </w:r>
      <w:r w:rsidRPr="00867098">
        <w:rPr>
          <w:rFonts w:cs="Garamond"/>
          <w:i/>
          <w:color w:val="000000"/>
          <w:szCs w:val="22"/>
          <w:lang w:eastAsia="sl-SI"/>
        </w:rPr>
        <w:t>predložitev odzivnega poročila</w:t>
      </w:r>
      <w:r>
        <w:rPr>
          <w:rFonts w:cs="Garamond"/>
          <w:color w:val="000000"/>
          <w:szCs w:val="22"/>
          <w:lang w:eastAsia="sl-SI"/>
        </w:rPr>
        <w:t xml:space="preserve"> od </w:t>
      </w:r>
      <w:r>
        <w:t>Ministrstva</w:t>
      </w:r>
      <w:r w:rsidRPr="006515C2">
        <w:t xml:space="preserve"> za pravosodje</w:t>
      </w:r>
      <w:r>
        <w:t xml:space="preserve">, saj </w:t>
      </w:r>
      <w:r w:rsidRPr="006515C2">
        <w:t>med izvajanjem revizije ni odpravil</w:t>
      </w:r>
      <w:r>
        <w:t>o</w:t>
      </w:r>
      <w:r w:rsidRPr="006515C2">
        <w:t xml:space="preserve"> vseh </w:t>
      </w:r>
      <w:r>
        <w:t xml:space="preserve">ugotovljenih nesmotrnosti. </w:t>
      </w:r>
    </w:p>
    <w:p w14:paraId="6E00FC82" w14:textId="77777777" w:rsidR="00C76185" w:rsidRDefault="00C76185" w:rsidP="00C76185">
      <w:pPr>
        <w:pStyle w:val="RStekst"/>
        <w:rPr>
          <w:rFonts w:cs="Garamond"/>
          <w:color w:val="000000"/>
          <w:szCs w:val="22"/>
          <w:lang w:eastAsia="sl-SI"/>
        </w:rPr>
      </w:pPr>
    </w:p>
    <w:p w14:paraId="51E1C824" w14:textId="36E40149" w:rsidR="00254E8D" w:rsidRDefault="00C76185" w:rsidP="00C76185">
      <w:pPr>
        <w:pStyle w:val="RStekst"/>
      </w:pPr>
      <w:r>
        <w:rPr>
          <w:rFonts w:cs="Garamond"/>
          <w:color w:val="000000"/>
          <w:szCs w:val="22"/>
          <w:lang w:eastAsia="sl-SI"/>
        </w:rPr>
        <w:t xml:space="preserve">Ministrstvu za pravosodje in Vrhovnemu </w:t>
      </w:r>
      <w:r>
        <w:t>državnemu tožilstvu Republike Slovenije</w:t>
      </w:r>
      <w:r>
        <w:rPr>
          <w:rFonts w:cs="Garamond"/>
          <w:color w:val="000000"/>
          <w:szCs w:val="22"/>
          <w:lang w:eastAsia="sl-SI"/>
        </w:rPr>
        <w:t xml:space="preserve"> je računsko sodišče podalo tudi </w:t>
      </w:r>
      <w:r w:rsidRPr="006515C2">
        <w:rPr>
          <w:i/>
        </w:rPr>
        <w:t>priporočila</w:t>
      </w:r>
      <w:r w:rsidRPr="006515C2">
        <w:t xml:space="preserve"> za izboljšanje poslovanja</w:t>
      </w:r>
      <w:r>
        <w:t>.</w:t>
      </w:r>
    </w:p>
    <w:p w14:paraId="3794C8CD" w14:textId="77777777" w:rsidR="00254E8D" w:rsidRDefault="00254E8D" w:rsidP="00254E8D">
      <w:pPr>
        <w:pStyle w:val="RStekst"/>
      </w:pPr>
    </w:p>
    <w:p w14:paraId="259CE7DC" w14:textId="77777777" w:rsidR="002046DB" w:rsidRPr="00254E8D" w:rsidRDefault="002046DB" w:rsidP="00254E8D">
      <w:pPr>
        <w:pStyle w:val="RStekst"/>
      </w:pPr>
    </w:p>
    <w:p w14:paraId="194AA3F4" w14:textId="1F0FAD9A" w:rsidR="00E00CC1" w:rsidRDefault="0088111B" w:rsidP="00D2498A">
      <w:pPr>
        <w:pStyle w:val="RStekst"/>
      </w:pPr>
      <w:r>
        <w:t xml:space="preserve">Ljubljana, </w:t>
      </w:r>
      <w:r w:rsidR="00A43FFE">
        <w:t>11.</w:t>
      </w:r>
      <w:bookmarkStart w:id="0" w:name="_GoBack"/>
      <w:bookmarkEnd w:id="0"/>
      <w:r w:rsidR="000346F0">
        <w:t xml:space="preserve"> </w:t>
      </w:r>
      <w:r w:rsidR="00CA3E58">
        <w:t>novembra</w:t>
      </w:r>
      <w:r w:rsidR="00121671">
        <w:t xml:space="preserve"> 2019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01987" w14:textId="77777777" w:rsidR="0088111B" w:rsidRDefault="0088111B">
      <w:r>
        <w:separator/>
      </w:r>
    </w:p>
  </w:endnote>
  <w:endnote w:type="continuationSeparator" w:id="0">
    <w:p w14:paraId="3D9BC27C" w14:textId="77777777" w:rsidR="0088111B" w:rsidRDefault="0088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E4631" w14:textId="77777777" w:rsidR="00896618" w:rsidRDefault="0089661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A6392" w14:textId="77777777" w:rsidR="002C5DCD" w:rsidRDefault="002C5DCD">
    <w:pPr>
      <w:jc w:val="center"/>
    </w:pPr>
    <w:r>
      <w:fldChar w:fldCharType="begin"/>
    </w:r>
    <w:r>
      <w:instrText xml:space="preserve"> PAGE </w:instrText>
    </w:r>
    <w:r>
      <w:fldChar w:fldCharType="separate"/>
    </w:r>
    <w:r w:rsidR="00A43FF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4917" w14:textId="77777777" w:rsidR="002C5DCD" w:rsidRDefault="008965C3">
    <w:r>
      <w:rPr>
        <w:noProof/>
        <w:lang w:eastAsia="sl-SI"/>
      </w:rPr>
      <w:drawing>
        <wp:anchor distT="0" distB="0" distL="114300" distR="114300" simplePos="0" relativeHeight="251663360" behindDoc="0" locked="1" layoutInCell="1" allowOverlap="1" wp14:anchorId="1EEDAEB0" wp14:editId="1F534DE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084EE" w14:textId="77777777" w:rsidR="0088111B" w:rsidRDefault="0088111B">
      <w:r>
        <w:separator/>
      </w:r>
    </w:p>
  </w:footnote>
  <w:footnote w:type="continuationSeparator" w:id="0">
    <w:p w14:paraId="0C048D1C" w14:textId="77777777" w:rsidR="0088111B" w:rsidRDefault="0088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D3BF4" w14:textId="77777777" w:rsidR="00896618" w:rsidRDefault="0089661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E1AE" w14:textId="77777777" w:rsidR="00896618" w:rsidRDefault="0089661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F785" w14:textId="77777777" w:rsidR="002C5DCD" w:rsidRDefault="00742630">
    <w:r>
      <w:rPr>
        <w:noProof/>
        <w:lang w:eastAsia="sl-SI"/>
      </w:rPr>
      <w:drawing>
        <wp:anchor distT="0" distB="0" distL="114300" distR="114300" simplePos="0" relativeHeight="251661312" behindDoc="0" locked="1" layoutInCell="1" allowOverlap="1" wp14:anchorId="734A0FAD" wp14:editId="7B48478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1B"/>
    <w:rsid w:val="000346F0"/>
    <w:rsid w:val="00121671"/>
    <w:rsid w:val="001D763D"/>
    <w:rsid w:val="001E3435"/>
    <w:rsid w:val="001E7547"/>
    <w:rsid w:val="002046DB"/>
    <w:rsid w:val="00254E8D"/>
    <w:rsid w:val="002C5DCD"/>
    <w:rsid w:val="002D37F3"/>
    <w:rsid w:val="002F2498"/>
    <w:rsid w:val="003535E4"/>
    <w:rsid w:val="0036428E"/>
    <w:rsid w:val="00571650"/>
    <w:rsid w:val="00573638"/>
    <w:rsid w:val="00590644"/>
    <w:rsid w:val="005C34F4"/>
    <w:rsid w:val="005F6ED6"/>
    <w:rsid w:val="00647D7F"/>
    <w:rsid w:val="006835CE"/>
    <w:rsid w:val="00694A0C"/>
    <w:rsid w:val="006A2AFA"/>
    <w:rsid w:val="00742630"/>
    <w:rsid w:val="00824513"/>
    <w:rsid w:val="0088111B"/>
    <w:rsid w:val="008965C3"/>
    <w:rsid w:val="00896618"/>
    <w:rsid w:val="008A4178"/>
    <w:rsid w:val="00912111"/>
    <w:rsid w:val="00A43FFE"/>
    <w:rsid w:val="00AA218A"/>
    <w:rsid w:val="00AB03E9"/>
    <w:rsid w:val="00AC54E0"/>
    <w:rsid w:val="00B008F8"/>
    <w:rsid w:val="00B06EDD"/>
    <w:rsid w:val="00B52B98"/>
    <w:rsid w:val="00B92131"/>
    <w:rsid w:val="00BA74F7"/>
    <w:rsid w:val="00C07C0D"/>
    <w:rsid w:val="00C31D5B"/>
    <w:rsid w:val="00C57CE6"/>
    <w:rsid w:val="00C74005"/>
    <w:rsid w:val="00C76185"/>
    <w:rsid w:val="00CA3E58"/>
    <w:rsid w:val="00CC44BB"/>
    <w:rsid w:val="00CF7C19"/>
    <w:rsid w:val="00D2498A"/>
    <w:rsid w:val="00D47861"/>
    <w:rsid w:val="00D7347F"/>
    <w:rsid w:val="00DA44DA"/>
    <w:rsid w:val="00E00CC1"/>
    <w:rsid w:val="00E16138"/>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03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2046DB"/>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 w:type="paragraph" w:styleId="HTML-oblikovano">
    <w:name w:val="HTML Preformatted"/>
    <w:basedOn w:val="Navaden"/>
    <w:link w:val="HTML-oblikovanoZnak"/>
    <w:rsid w:val="00254E8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54E8D"/>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2046DB"/>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 w:type="paragraph" w:styleId="HTML-oblikovano">
    <w:name w:val="HTML Preformatted"/>
    <w:basedOn w:val="Navaden"/>
    <w:link w:val="HTML-oblikovanoZnak"/>
    <w:rsid w:val="00254E8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54E8D"/>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94877">
      <w:bodyDiv w:val="1"/>
      <w:marLeft w:val="0"/>
      <w:marRight w:val="0"/>
      <w:marTop w:val="0"/>
      <w:marBottom w:val="0"/>
      <w:divBdr>
        <w:top w:val="none" w:sz="0" w:space="0" w:color="auto"/>
        <w:left w:val="none" w:sz="0" w:space="0" w:color="auto"/>
        <w:bottom w:val="none" w:sz="0" w:space="0" w:color="auto"/>
        <w:right w:val="none" w:sz="0" w:space="0" w:color="auto"/>
      </w:divBdr>
    </w:div>
    <w:div w:id="14196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C643597-3617-4E7C-B90D-89A23FDA2CA9}">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4E9BFF1-2E48-4330-81EF-484CE936C555}">
  <ds:schemaRefs>
    <ds:schemaRef ds:uri="http://schemas.microsoft.com/sharepoint/v3/contenttype/forms"/>
  </ds:schemaRefs>
</ds:datastoreItem>
</file>

<file path=customXml/itemProps3.xml><?xml version="1.0" encoding="utf-8"?>
<ds:datastoreItem xmlns:ds="http://schemas.openxmlformats.org/officeDocument/2006/customXml" ds:itemID="{08A3EA01-0399-421F-B3B9-1D34748F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2019-10-23T13:30:00Z</dcterms:created>
  <dcterms:modified xsi:type="dcterms:W3CDTF">2019-11-06T14:21:00Z</dcterms:modified>
</cp:coreProperties>
</file>